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val="0"/>
          <w:color w:val="auto"/>
          <w:sz w:val="44"/>
          <w:szCs w:val="44"/>
        </w:rPr>
      </w:pPr>
    </w:p>
    <w:p>
      <w:pPr>
        <w:pStyle w:val="3"/>
        <w:spacing w:before="0" w:after="0" w:line="360" w:lineRule="auto"/>
        <w:ind w:left="0"/>
        <w:rPr>
          <w:rFonts w:ascii="宋体" w:hAnsi="宋体"/>
          <w:b/>
          <w:bCs w:val="0"/>
          <w:color w:val="auto"/>
          <w:sz w:val="24"/>
          <w:szCs w:val="24"/>
        </w:rPr>
      </w:pPr>
      <w:bookmarkStart w:id="0" w:name="_Toc21631"/>
      <w:r>
        <w:rPr>
          <w:rFonts w:hint="eastAsia" w:ascii="宋体" w:hAnsi="宋体"/>
          <w:b/>
          <w:bCs w:val="0"/>
          <w:color w:val="auto"/>
          <w:sz w:val="24"/>
          <w:szCs w:val="24"/>
        </w:rPr>
        <w:t xml:space="preserve">        </w:t>
      </w:r>
      <w:bookmarkStart w:id="9" w:name="_GoBack"/>
      <w:r>
        <w:rPr>
          <w:rFonts w:hint="eastAsia" w:ascii="宋体" w:hAnsi="宋体"/>
          <w:b/>
          <w:bCs w:val="0"/>
          <w:color w:val="auto"/>
          <w:sz w:val="32"/>
          <w:szCs w:val="32"/>
        </w:rPr>
        <w:t>磋商须知</w:t>
      </w:r>
      <w:bookmarkEnd w:id="0"/>
      <w:bookmarkEnd w:id="9"/>
    </w:p>
    <w:p>
      <w:pPr>
        <w:spacing w:line="360" w:lineRule="auto"/>
        <w:jc w:val="center"/>
        <w:rPr>
          <w:rFonts w:ascii="宋体" w:hAnsi="宋体" w:eastAsia="宋体"/>
          <w:color w:val="auto"/>
          <w:sz w:val="24"/>
        </w:rPr>
      </w:pPr>
      <w:bookmarkStart w:id="1" w:name="_Toc152042304"/>
      <w:bookmarkStart w:id="2" w:name="_Toc152045528"/>
      <w:bookmarkStart w:id="3" w:name="_Toc12748"/>
      <w:bookmarkStart w:id="4" w:name="_Toc179632545"/>
      <w:bookmarkStart w:id="5" w:name="_Toc144974496"/>
      <w:bookmarkStart w:id="6" w:name="_Toc467964422"/>
      <w:r>
        <w:rPr>
          <w:rFonts w:hint="eastAsia" w:ascii="宋体" w:hAnsi="宋体" w:eastAsia="宋体"/>
          <w:color w:val="auto"/>
          <w:sz w:val="24"/>
        </w:rPr>
        <w:t>一、竞争性磋商须知前附表</w:t>
      </w:r>
      <w:bookmarkEnd w:id="1"/>
      <w:bookmarkEnd w:id="2"/>
      <w:bookmarkEnd w:id="3"/>
      <w:bookmarkEnd w:id="4"/>
      <w:bookmarkEnd w:id="5"/>
      <w:bookmarkEnd w:id="6"/>
    </w:p>
    <w:tbl>
      <w:tblPr>
        <w:tblStyle w:val="17"/>
        <w:tblW w:w="9464" w:type="dxa"/>
        <w:tblInd w:w="0" w:type="dxa"/>
        <w:tblLayout w:type="fixed"/>
        <w:tblCellMar>
          <w:top w:w="0" w:type="dxa"/>
          <w:left w:w="108" w:type="dxa"/>
          <w:bottom w:w="0" w:type="dxa"/>
          <w:right w:w="108" w:type="dxa"/>
        </w:tblCellMar>
      </w:tblPr>
      <w:tblGrid>
        <w:gridCol w:w="1009"/>
        <w:gridCol w:w="2643"/>
        <w:gridCol w:w="5812"/>
      </w:tblGrid>
      <w:tr>
        <w:tblPrEx>
          <w:tblCellMar>
            <w:top w:w="0" w:type="dxa"/>
            <w:left w:w="108" w:type="dxa"/>
            <w:bottom w:w="0" w:type="dxa"/>
            <w:right w:w="108" w:type="dxa"/>
          </w:tblCellMar>
        </w:tblPrEx>
        <w:trPr>
          <w:trHeight w:val="9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color w:val="auto"/>
                <w:szCs w:val="21"/>
              </w:rPr>
            </w:pPr>
            <w:r>
              <w:rPr>
                <w:rFonts w:ascii="宋体" w:hAnsi="宋体" w:eastAsia="宋体"/>
                <w:b/>
                <w:color w:val="auto"/>
                <w:szCs w:val="21"/>
              </w:rPr>
              <w:t>条款号</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color w:val="auto"/>
                <w:szCs w:val="21"/>
              </w:rPr>
            </w:pPr>
            <w:r>
              <w:rPr>
                <w:rFonts w:ascii="宋体" w:hAnsi="宋体" w:eastAsia="宋体"/>
                <w:b/>
                <w:color w:val="auto"/>
                <w:szCs w:val="21"/>
              </w:rPr>
              <w:t>条  款  名  称</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color w:val="auto"/>
                <w:szCs w:val="21"/>
              </w:rPr>
            </w:pPr>
            <w:r>
              <w:rPr>
                <w:rFonts w:ascii="宋体" w:hAnsi="宋体" w:eastAsia="宋体"/>
                <w:b/>
                <w:color w:val="auto"/>
                <w:szCs w:val="21"/>
              </w:rPr>
              <w:t>编  列  内  容</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ascii="宋体" w:hAnsi="宋体" w:eastAsia="宋体"/>
                <w:color w:val="auto"/>
                <w:sz w:val="24"/>
              </w:rPr>
              <w:t>1</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采购</w:t>
            </w:r>
            <w:r>
              <w:rPr>
                <w:rFonts w:ascii="宋体" w:hAnsi="宋体" w:eastAsia="宋体"/>
                <w:color w:val="auto"/>
                <w:sz w:val="24"/>
              </w:rPr>
              <w:t>人</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Calibri"/>
                <w:color w:val="auto"/>
                <w:sz w:val="24"/>
              </w:rPr>
            </w:pPr>
            <w:r>
              <w:rPr>
                <w:rFonts w:hint="eastAsia" w:ascii="宋体" w:hAnsi="宋体" w:eastAsia="宋体"/>
                <w:color w:val="auto"/>
                <w:sz w:val="24"/>
              </w:rPr>
              <w:t>见磋商公告</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2</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ascii="宋体" w:hAnsi="宋体" w:eastAsia="宋体"/>
                <w:color w:val="auto"/>
                <w:sz w:val="24"/>
              </w:rPr>
              <w:t>项目名称</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sz w:val="24"/>
              </w:rPr>
            </w:pPr>
            <w:r>
              <w:rPr>
                <w:rFonts w:hint="eastAsia" w:ascii="宋体" w:hAnsi="宋体"/>
                <w:color w:val="auto"/>
                <w:sz w:val="24"/>
              </w:rPr>
              <w:t>湖北师范大学第八期双创训练营服务项目</w:t>
            </w:r>
          </w:p>
        </w:tc>
      </w:tr>
      <w:tr>
        <w:tblPrEx>
          <w:tblCellMar>
            <w:top w:w="0" w:type="dxa"/>
            <w:left w:w="108" w:type="dxa"/>
            <w:bottom w:w="0" w:type="dxa"/>
            <w:right w:w="108" w:type="dxa"/>
          </w:tblCellMar>
        </w:tblPrEx>
        <w:trPr>
          <w:trHeight w:val="419"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3</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项目</w:t>
            </w:r>
            <w:r>
              <w:rPr>
                <w:rFonts w:ascii="宋体" w:hAnsi="宋体" w:eastAsia="宋体"/>
                <w:color w:val="auto"/>
                <w:sz w:val="24"/>
              </w:rPr>
              <w:t>地点</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rPr>
            </w:pPr>
            <w:r>
              <w:rPr>
                <w:rFonts w:hint="eastAsia" w:ascii="宋体" w:hAnsi="宋体" w:eastAsia="宋体"/>
                <w:color w:val="auto"/>
                <w:sz w:val="24"/>
              </w:rPr>
              <w:t>湖北师范大学</w:t>
            </w:r>
          </w:p>
        </w:tc>
      </w:tr>
      <w:tr>
        <w:tblPrEx>
          <w:tblCellMar>
            <w:top w:w="0" w:type="dxa"/>
            <w:left w:w="108" w:type="dxa"/>
            <w:bottom w:w="0" w:type="dxa"/>
            <w:right w:w="108" w:type="dxa"/>
          </w:tblCellMar>
        </w:tblPrEx>
        <w:trPr>
          <w:trHeight w:val="409"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4</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4"/>
              </w:rPr>
            </w:pPr>
            <w:r>
              <w:rPr>
                <w:rFonts w:hint="eastAsia" w:ascii="宋体" w:hAnsi="宋体" w:eastAsia="宋体"/>
                <w:color w:val="auto"/>
                <w:sz w:val="24"/>
              </w:rPr>
              <w:t>采购内容</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olor w:val="auto"/>
                <w:sz w:val="24"/>
              </w:rPr>
            </w:pPr>
            <w:r>
              <w:rPr>
                <w:rFonts w:hint="eastAsia" w:ascii="宋体" w:hAnsi="宋体"/>
                <w:color w:val="auto"/>
                <w:sz w:val="24"/>
              </w:rPr>
              <w:t>详见第三章项目需求</w:t>
            </w:r>
          </w:p>
        </w:tc>
      </w:tr>
      <w:tr>
        <w:tblPrEx>
          <w:tblCellMar>
            <w:top w:w="0" w:type="dxa"/>
            <w:left w:w="108" w:type="dxa"/>
            <w:bottom w:w="0" w:type="dxa"/>
            <w:right w:w="108" w:type="dxa"/>
          </w:tblCellMar>
        </w:tblPrEx>
        <w:trPr>
          <w:trHeight w:val="391"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5</w:t>
            </w:r>
          </w:p>
        </w:tc>
        <w:tc>
          <w:tcPr>
            <w:tcW w:w="2643" w:type="dxa"/>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jc w:val="center"/>
              <w:rPr>
                <w:rFonts w:hAnsi="宋体" w:eastAsia="宋体"/>
                <w:color w:val="auto"/>
                <w:szCs w:val="24"/>
              </w:rPr>
            </w:pPr>
            <w:r>
              <w:rPr>
                <w:rFonts w:hint="eastAsia" w:hAnsi="宋体" w:eastAsia="宋体"/>
                <w:color w:val="auto"/>
                <w:szCs w:val="24"/>
              </w:rPr>
              <w:t>质量目标</w:t>
            </w:r>
          </w:p>
        </w:tc>
        <w:tc>
          <w:tcPr>
            <w:tcW w:w="5812" w:type="dxa"/>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rPr>
                <w:rFonts w:hAnsi="宋体" w:eastAsia="宋体" w:cs="宋体"/>
                <w:color w:val="auto"/>
                <w:szCs w:val="24"/>
              </w:rPr>
            </w:pPr>
            <w:r>
              <w:rPr>
                <w:rFonts w:hint="eastAsia" w:hAnsi="宋体" w:eastAsia="宋体" w:cs="宋体"/>
                <w:color w:val="auto"/>
                <w:szCs w:val="24"/>
              </w:rPr>
              <w:t>合格</w:t>
            </w:r>
          </w:p>
        </w:tc>
      </w:tr>
      <w:tr>
        <w:tblPrEx>
          <w:tblCellMar>
            <w:top w:w="0" w:type="dxa"/>
            <w:left w:w="108" w:type="dxa"/>
            <w:bottom w:w="0" w:type="dxa"/>
            <w:right w:w="108" w:type="dxa"/>
          </w:tblCellMar>
        </w:tblPrEx>
        <w:trPr>
          <w:trHeight w:val="465"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6</w:t>
            </w:r>
          </w:p>
        </w:tc>
        <w:tc>
          <w:tcPr>
            <w:tcW w:w="2643" w:type="dxa"/>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jc w:val="center"/>
              <w:rPr>
                <w:rFonts w:hAnsi="宋体" w:eastAsia="宋体"/>
                <w:color w:val="auto"/>
                <w:szCs w:val="24"/>
              </w:rPr>
            </w:pPr>
            <w:r>
              <w:rPr>
                <w:rFonts w:hint="eastAsia" w:hAnsi="宋体" w:eastAsia="宋体"/>
                <w:color w:val="auto"/>
                <w:szCs w:val="24"/>
              </w:rPr>
              <w:t>服务期</w:t>
            </w:r>
          </w:p>
        </w:tc>
        <w:tc>
          <w:tcPr>
            <w:tcW w:w="5812" w:type="dxa"/>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rPr>
                <w:rFonts w:hAnsi="宋体" w:eastAsia="宋体"/>
                <w:color w:val="auto"/>
                <w:szCs w:val="24"/>
                <w:u w:val="single"/>
              </w:rPr>
            </w:pPr>
            <w:r>
              <w:rPr>
                <w:rFonts w:hint="eastAsia" w:hAnsi="宋体" w:eastAsia="宋体"/>
                <w:color w:val="auto"/>
              </w:rPr>
              <w:t>见磋商公告</w:t>
            </w:r>
          </w:p>
        </w:tc>
      </w:tr>
      <w:tr>
        <w:tblPrEx>
          <w:tblCellMar>
            <w:top w:w="0" w:type="dxa"/>
            <w:left w:w="108" w:type="dxa"/>
            <w:bottom w:w="0" w:type="dxa"/>
            <w:right w:w="108" w:type="dxa"/>
          </w:tblCellMar>
        </w:tblPrEx>
        <w:trPr>
          <w:trHeight w:val="419"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7</w:t>
            </w:r>
          </w:p>
        </w:tc>
        <w:tc>
          <w:tcPr>
            <w:tcW w:w="2643" w:type="dxa"/>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jc w:val="center"/>
              <w:rPr>
                <w:rFonts w:hAnsi="宋体" w:eastAsia="宋体"/>
                <w:color w:val="auto"/>
                <w:szCs w:val="24"/>
              </w:rPr>
            </w:pPr>
            <w:r>
              <w:rPr>
                <w:rFonts w:hint="eastAsia" w:hAnsi="宋体" w:eastAsia="宋体"/>
                <w:color w:val="auto"/>
                <w:szCs w:val="24"/>
              </w:rPr>
              <w:t>资金情况</w:t>
            </w:r>
          </w:p>
        </w:tc>
        <w:tc>
          <w:tcPr>
            <w:tcW w:w="5812" w:type="dxa"/>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rPr>
                <w:rFonts w:hAnsi="宋体" w:eastAsia="宋体" w:cs="宋体"/>
                <w:color w:val="auto"/>
                <w:szCs w:val="24"/>
              </w:rPr>
            </w:pPr>
            <w:r>
              <w:rPr>
                <w:rFonts w:hint="eastAsia" w:hAnsi="宋体" w:eastAsia="宋体" w:cs="宋体"/>
                <w:color w:val="auto"/>
                <w:szCs w:val="24"/>
              </w:rPr>
              <w:t>已落实</w:t>
            </w:r>
          </w:p>
        </w:tc>
      </w:tr>
      <w:tr>
        <w:tblPrEx>
          <w:tblCellMar>
            <w:top w:w="0" w:type="dxa"/>
            <w:left w:w="108" w:type="dxa"/>
            <w:bottom w:w="0" w:type="dxa"/>
            <w:right w:w="108" w:type="dxa"/>
          </w:tblCellMar>
        </w:tblPrEx>
        <w:trPr>
          <w:trHeight w:val="477"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8</w:t>
            </w:r>
          </w:p>
        </w:tc>
        <w:tc>
          <w:tcPr>
            <w:tcW w:w="26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olor w:val="auto"/>
                <w:sz w:val="24"/>
              </w:rPr>
            </w:pPr>
            <w:r>
              <w:rPr>
                <w:rFonts w:hint="eastAsia" w:ascii="宋体" w:hAnsi="宋体" w:eastAsia="宋体"/>
                <w:color w:val="auto"/>
                <w:sz w:val="24"/>
              </w:rPr>
              <w:t>磋商供应商</w:t>
            </w:r>
            <w:r>
              <w:rPr>
                <w:rFonts w:ascii="宋体" w:hAnsi="宋体" w:eastAsia="宋体"/>
                <w:color w:val="auto"/>
                <w:sz w:val="24"/>
              </w:rPr>
              <w:t>资质条</w:t>
            </w:r>
          </w:p>
          <w:p>
            <w:pPr>
              <w:spacing w:line="320" w:lineRule="exact"/>
              <w:jc w:val="center"/>
              <w:rPr>
                <w:rFonts w:ascii="宋体" w:hAnsi="宋体" w:eastAsia="宋体"/>
                <w:color w:val="auto"/>
                <w:sz w:val="24"/>
              </w:rPr>
            </w:pPr>
            <w:r>
              <w:rPr>
                <w:rFonts w:ascii="宋体" w:hAnsi="宋体" w:eastAsia="宋体"/>
                <w:color w:val="auto"/>
                <w:sz w:val="24"/>
              </w:rPr>
              <w:t>件、能力和信誉</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olor w:val="auto"/>
                <w:sz w:val="24"/>
              </w:rPr>
            </w:pPr>
            <w:r>
              <w:rPr>
                <w:rFonts w:hint="eastAsia" w:ascii="宋体" w:hAnsi="宋体" w:eastAsia="宋体"/>
                <w:color w:val="auto"/>
                <w:sz w:val="24"/>
              </w:rPr>
              <w:t>见磋商公告</w:t>
            </w:r>
          </w:p>
        </w:tc>
      </w:tr>
      <w:tr>
        <w:tblPrEx>
          <w:tblCellMar>
            <w:top w:w="0" w:type="dxa"/>
            <w:left w:w="108" w:type="dxa"/>
            <w:bottom w:w="0" w:type="dxa"/>
            <w:right w:w="108" w:type="dxa"/>
          </w:tblCellMar>
        </w:tblPrEx>
        <w:trPr>
          <w:trHeight w:val="413"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olor w:val="auto"/>
                <w:sz w:val="24"/>
              </w:rPr>
            </w:pPr>
            <w:r>
              <w:rPr>
                <w:rFonts w:hint="eastAsia" w:ascii="宋体" w:hAnsi="宋体" w:eastAsia="宋体"/>
                <w:color w:val="auto"/>
                <w:sz w:val="24"/>
              </w:rPr>
              <w:t>9</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ascii="宋体" w:hAnsi="宋体" w:eastAsia="宋体"/>
                <w:color w:val="auto"/>
                <w:sz w:val="24"/>
              </w:rPr>
              <w:t>是否接受联合体投标</w:t>
            </w:r>
          </w:p>
        </w:tc>
        <w:tc>
          <w:tcPr>
            <w:tcW w:w="5812" w:type="dxa"/>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rPr>
                <w:rFonts w:hAnsi="宋体" w:eastAsia="宋体"/>
                <w:color w:val="auto"/>
                <w:szCs w:val="24"/>
              </w:rPr>
            </w:pPr>
            <w:r>
              <w:rPr>
                <w:rFonts w:hint="eastAsia" w:hAnsi="宋体" w:eastAsia="宋体"/>
                <w:color w:val="auto"/>
                <w:szCs w:val="24"/>
              </w:rPr>
              <w:t>不接受</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10</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ascii="宋体" w:hAnsi="宋体" w:eastAsia="宋体"/>
                <w:color w:val="auto"/>
                <w:sz w:val="24"/>
              </w:rPr>
              <w:t>踏勘</w:t>
            </w:r>
            <w:r>
              <w:rPr>
                <w:rFonts w:hint="eastAsia" w:ascii="宋体" w:hAnsi="宋体" w:eastAsia="宋体"/>
                <w:color w:val="auto"/>
                <w:sz w:val="24"/>
              </w:rPr>
              <w:t>现场</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rPr>
            </w:pPr>
            <w:r>
              <w:rPr>
                <w:rFonts w:hint="eastAsia" w:ascii="宋体" w:hAnsi="宋体" w:eastAsia="宋体"/>
                <w:bCs/>
                <w:color w:val="auto"/>
                <w:sz w:val="24"/>
              </w:rPr>
              <w:t>不组织</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11</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磋商</w:t>
            </w:r>
            <w:r>
              <w:rPr>
                <w:rFonts w:ascii="宋体" w:hAnsi="宋体" w:eastAsia="宋体"/>
                <w:color w:val="auto"/>
                <w:sz w:val="24"/>
              </w:rPr>
              <w:t>预备会</w:t>
            </w:r>
          </w:p>
        </w:tc>
        <w:tc>
          <w:tcPr>
            <w:tcW w:w="5812" w:type="dxa"/>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rPr>
                <w:rFonts w:hAnsi="宋体" w:eastAsia="宋体"/>
                <w:color w:val="auto"/>
                <w:szCs w:val="24"/>
              </w:rPr>
            </w:pPr>
            <w:r>
              <w:rPr>
                <w:rFonts w:hint="eastAsia" w:hAnsi="宋体" w:eastAsia="宋体"/>
                <w:color w:val="auto"/>
                <w:szCs w:val="24"/>
              </w:rPr>
              <w:t>不</w:t>
            </w:r>
            <w:r>
              <w:rPr>
                <w:rFonts w:hAnsi="宋体" w:eastAsia="宋体"/>
                <w:color w:val="auto"/>
                <w:szCs w:val="24"/>
              </w:rPr>
              <w:t>召开</w:t>
            </w:r>
          </w:p>
        </w:tc>
      </w:tr>
      <w:t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12</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偏离</w:t>
            </w:r>
          </w:p>
        </w:tc>
        <w:tc>
          <w:tcPr>
            <w:tcW w:w="5812" w:type="dxa"/>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rPr>
                <w:rFonts w:hAnsi="宋体" w:eastAsia="宋体"/>
                <w:color w:val="auto"/>
                <w:szCs w:val="24"/>
              </w:rPr>
            </w:pPr>
            <w:r>
              <w:rPr>
                <w:rFonts w:hint="eastAsia" w:hAnsi="宋体" w:eastAsia="宋体"/>
                <w:color w:val="auto"/>
                <w:szCs w:val="24"/>
              </w:rPr>
              <w:t>不允许</w:t>
            </w:r>
          </w:p>
        </w:tc>
      </w:tr>
      <w:tr>
        <w:tblPrEx>
          <w:tblCellMar>
            <w:top w:w="0" w:type="dxa"/>
            <w:left w:w="108" w:type="dxa"/>
            <w:bottom w:w="0" w:type="dxa"/>
            <w:right w:w="108" w:type="dxa"/>
          </w:tblCellMar>
        </w:tblPrEx>
        <w:trPr>
          <w:trHeight w:val="457"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13</w:t>
            </w:r>
          </w:p>
        </w:tc>
        <w:tc>
          <w:tcPr>
            <w:tcW w:w="26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olor w:val="auto"/>
                <w:sz w:val="24"/>
              </w:rPr>
            </w:pPr>
            <w:r>
              <w:rPr>
                <w:rFonts w:hint="eastAsia" w:ascii="宋体" w:hAnsi="宋体" w:eastAsia="宋体"/>
                <w:color w:val="auto"/>
                <w:sz w:val="24"/>
              </w:rPr>
              <w:t>供应商</w:t>
            </w:r>
            <w:r>
              <w:rPr>
                <w:rFonts w:ascii="宋体" w:hAnsi="宋体" w:eastAsia="宋体"/>
                <w:color w:val="auto"/>
                <w:sz w:val="24"/>
              </w:rPr>
              <w:t>要求澄清</w:t>
            </w:r>
          </w:p>
          <w:p>
            <w:pPr>
              <w:spacing w:line="320" w:lineRule="exact"/>
              <w:jc w:val="center"/>
              <w:rPr>
                <w:rFonts w:ascii="宋体" w:hAnsi="宋体" w:eastAsia="宋体"/>
                <w:color w:val="auto"/>
                <w:sz w:val="24"/>
              </w:rPr>
            </w:pPr>
            <w:r>
              <w:rPr>
                <w:rFonts w:hint="eastAsia" w:ascii="宋体" w:hAnsi="宋体" w:eastAsia="宋体"/>
                <w:color w:val="auto"/>
                <w:sz w:val="24"/>
              </w:rPr>
              <w:t>磋商</w:t>
            </w:r>
            <w:r>
              <w:rPr>
                <w:rFonts w:ascii="宋体" w:hAnsi="宋体" w:eastAsia="宋体"/>
                <w:color w:val="auto"/>
                <w:sz w:val="24"/>
              </w:rPr>
              <w:t>文件的截止时间</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rPr>
            </w:pPr>
            <w:r>
              <w:rPr>
                <w:rFonts w:hint="eastAsia" w:ascii="宋体" w:hAnsi="宋体" w:eastAsia="宋体"/>
                <w:color w:val="auto"/>
                <w:sz w:val="24"/>
              </w:rPr>
              <w:t>递交磋商响应文件截止之日</w:t>
            </w:r>
            <w:r>
              <w:rPr>
                <w:rFonts w:hint="eastAsia" w:ascii="宋体" w:hAnsi="宋体" w:eastAsia="宋体"/>
                <w:color w:val="auto"/>
                <w:sz w:val="24"/>
                <w:u w:val="single"/>
              </w:rPr>
              <w:t>1</w:t>
            </w:r>
            <w:r>
              <w:rPr>
                <w:rFonts w:hint="eastAsia" w:ascii="宋体" w:hAnsi="宋体" w:eastAsia="宋体"/>
                <w:color w:val="auto"/>
                <w:sz w:val="24"/>
              </w:rPr>
              <w:t>日前</w:t>
            </w:r>
          </w:p>
        </w:tc>
      </w:tr>
      <w:tr>
        <w:tblPrEx>
          <w:tblCellMar>
            <w:top w:w="0" w:type="dxa"/>
            <w:left w:w="108" w:type="dxa"/>
            <w:bottom w:w="0" w:type="dxa"/>
            <w:right w:w="108" w:type="dxa"/>
          </w:tblCellMar>
        </w:tblPrEx>
        <w:trPr>
          <w:trHeight w:val="321"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14</w:t>
            </w:r>
          </w:p>
        </w:tc>
        <w:tc>
          <w:tcPr>
            <w:tcW w:w="26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olor w:val="auto"/>
                <w:sz w:val="24"/>
              </w:rPr>
            </w:pPr>
            <w:r>
              <w:rPr>
                <w:rFonts w:ascii="宋体" w:hAnsi="宋体" w:eastAsia="宋体"/>
                <w:color w:val="auto"/>
                <w:sz w:val="24"/>
              </w:rPr>
              <w:t>构成</w:t>
            </w:r>
            <w:r>
              <w:rPr>
                <w:rFonts w:hint="eastAsia" w:ascii="宋体" w:hAnsi="宋体" w:eastAsia="宋体"/>
                <w:color w:val="auto"/>
                <w:sz w:val="24"/>
              </w:rPr>
              <w:t>磋商响应</w:t>
            </w:r>
            <w:r>
              <w:rPr>
                <w:rFonts w:ascii="宋体" w:hAnsi="宋体" w:eastAsia="宋体"/>
                <w:color w:val="auto"/>
                <w:sz w:val="24"/>
              </w:rPr>
              <w:t>文件</w:t>
            </w:r>
          </w:p>
          <w:p>
            <w:pPr>
              <w:spacing w:line="320" w:lineRule="exact"/>
              <w:jc w:val="center"/>
              <w:rPr>
                <w:rFonts w:ascii="宋体" w:hAnsi="宋体" w:eastAsia="宋体"/>
                <w:color w:val="auto"/>
                <w:sz w:val="24"/>
              </w:rPr>
            </w:pPr>
            <w:r>
              <w:rPr>
                <w:rFonts w:ascii="宋体" w:hAnsi="宋体" w:eastAsia="宋体"/>
                <w:color w:val="auto"/>
                <w:sz w:val="24"/>
              </w:rPr>
              <w:t>的其他材料</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rPr>
            </w:pPr>
            <w:r>
              <w:rPr>
                <w:rFonts w:hint="eastAsia" w:ascii="宋体" w:hAnsi="宋体" w:eastAsia="宋体"/>
                <w:color w:val="auto"/>
                <w:sz w:val="24"/>
              </w:rPr>
              <w:t>见磋商文件须知</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15</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eastAsia="宋体"/>
                <w:color w:val="auto"/>
                <w:sz w:val="24"/>
              </w:rPr>
            </w:pPr>
            <w:r>
              <w:rPr>
                <w:rFonts w:hint="eastAsia" w:ascii="宋体" w:hAnsi="宋体" w:eastAsia="宋体"/>
                <w:color w:val="auto"/>
                <w:sz w:val="24"/>
              </w:rPr>
              <w:t>最高限价</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00" w:lineRule="atLeast"/>
              <w:jc w:val="left"/>
              <w:rPr>
                <w:rFonts w:ascii="宋体" w:hAnsi="宋体" w:eastAsia="宋体"/>
                <w:b/>
                <w:color w:val="auto"/>
                <w:sz w:val="24"/>
              </w:rPr>
            </w:pPr>
            <w:r>
              <w:rPr>
                <w:rFonts w:hint="eastAsia" w:ascii="宋体" w:hAnsi="宋体" w:eastAsia="宋体"/>
                <w:color w:val="auto"/>
                <w:sz w:val="24"/>
              </w:rPr>
              <w:t>见磋商公告</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16</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投标</w:t>
            </w:r>
            <w:r>
              <w:rPr>
                <w:rFonts w:ascii="宋体" w:hAnsi="宋体" w:eastAsia="宋体"/>
                <w:color w:val="auto"/>
                <w:sz w:val="24"/>
              </w:rPr>
              <w:t>有效期</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rPr>
            </w:pPr>
            <w:r>
              <w:rPr>
                <w:rFonts w:hint="eastAsia" w:ascii="宋体" w:hAnsi="宋体" w:eastAsia="宋体"/>
                <w:color w:val="auto"/>
                <w:sz w:val="24"/>
              </w:rPr>
              <w:t>自递交磋商响应文件截止之日起</w:t>
            </w:r>
            <w:r>
              <w:rPr>
                <w:rFonts w:hint="eastAsia" w:ascii="宋体" w:hAnsi="宋体" w:eastAsia="宋体"/>
                <w:color w:val="auto"/>
                <w:sz w:val="24"/>
                <w:u w:val="single"/>
              </w:rPr>
              <w:t>10</w:t>
            </w:r>
            <w:r>
              <w:rPr>
                <w:rFonts w:hint="eastAsia" w:ascii="宋体" w:hAnsi="宋体" w:eastAsia="宋体"/>
                <w:color w:val="auto"/>
                <w:sz w:val="24"/>
              </w:rPr>
              <w:t>日内有效</w:t>
            </w:r>
          </w:p>
        </w:tc>
      </w:tr>
      <w:tr>
        <w:tblPrEx>
          <w:tblCellMar>
            <w:top w:w="0" w:type="dxa"/>
            <w:left w:w="108" w:type="dxa"/>
            <w:bottom w:w="0" w:type="dxa"/>
            <w:right w:w="108" w:type="dxa"/>
          </w:tblCellMar>
        </w:tblPrEx>
        <w:trPr>
          <w:trHeight w:val="359"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17</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响应文件递交截止</w:t>
            </w:r>
            <w:r>
              <w:rPr>
                <w:rFonts w:ascii="宋体" w:hAnsi="宋体" w:eastAsia="宋体"/>
                <w:color w:val="auto"/>
                <w:sz w:val="24"/>
              </w:rPr>
              <w:t>时间</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b/>
                <w:color w:val="auto"/>
                <w:sz w:val="24"/>
              </w:rPr>
            </w:pPr>
            <w:r>
              <w:rPr>
                <w:rFonts w:hint="eastAsia" w:ascii="宋体" w:hAnsi="宋体" w:eastAsia="宋体"/>
                <w:color w:val="auto"/>
                <w:sz w:val="24"/>
              </w:rPr>
              <w:t>见磋商公告</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18</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ascii="宋体" w:hAnsi="宋体" w:eastAsia="宋体"/>
                <w:color w:val="auto"/>
                <w:sz w:val="24"/>
              </w:rPr>
              <w:t>递交</w:t>
            </w:r>
            <w:r>
              <w:rPr>
                <w:rFonts w:hint="eastAsia" w:ascii="宋体" w:hAnsi="宋体" w:eastAsia="宋体"/>
                <w:color w:val="auto"/>
                <w:sz w:val="24"/>
              </w:rPr>
              <w:t>磋商响应</w:t>
            </w:r>
            <w:r>
              <w:rPr>
                <w:rFonts w:ascii="宋体" w:hAnsi="宋体" w:eastAsia="宋体"/>
                <w:color w:val="auto"/>
                <w:sz w:val="24"/>
              </w:rPr>
              <w:t>文件地点</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rPr>
            </w:pPr>
            <w:r>
              <w:rPr>
                <w:rFonts w:hint="eastAsia" w:ascii="宋体" w:hAnsi="宋体" w:eastAsia="宋体"/>
                <w:color w:val="auto"/>
                <w:sz w:val="24"/>
              </w:rPr>
              <w:t>见磋商公告</w:t>
            </w:r>
          </w:p>
        </w:tc>
      </w:tr>
      <w:tr>
        <w:tblPrEx>
          <w:tblCellMar>
            <w:top w:w="0" w:type="dxa"/>
            <w:left w:w="108" w:type="dxa"/>
            <w:bottom w:w="0" w:type="dxa"/>
            <w:right w:w="108" w:type="dxa"/>
          </w:tblCellMar>
        </w:tblPrEx>
        <w:trPr>
          <w:trHeight w:val="42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19</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ascii="宋体" w:hAnsi="宋体" w:eastAsia="宋体"/>
                <w:color w:val="auto"/>
                <w:sz w:val="24"/>
              </w:rPr>
              <w:t>是否退还</w:t>
            </w:r>
            <w:r>
              <w:rPr>
                <w:rFonts w:hint="eastAsia" w:ascii="宋体" w:hAnsi="宋体" w:eastAsia="宋体"/>
                <w:color w:val="auto"/>
                <w:sz w:val="24"/>
              </w:rPr>
              <w:t>磋商</w:t>
            </w:r>
            <w:r>
              <w:rPr>
                <w:rFonts w:ascii="宋体" w:hAnsi="宋体" w:eastAsia="宋体"/>
                <w:color w:val="auto"/>
                <w:sz w:val="24"/>
              </w:rPr>
              <w:t>文件</w:t>
            </w:r>
          </w:p>
        </w:tc>
        <w:tc>
          <w:tcPr>
            <w:tcW w:w="5812" w:type="dxa"/>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rPr>
                <w:rFonts w:hAnsi="宋体" w:eastAsia="宋体"/>
                <w:color w:val="auto"/>
                <w:szCs w:val="24"/>
              </w:rPr>
            </w:pPr>
            <w:r>
              <w:rPr>
                <w:rFonts w:hint="eastAsia" w:hAnsi="宋体" w:eastAsia="宋体"/>
                <w:color w:val="auto"/>
                <w:szCs w:val="24"/>
              </w:rPr>
              <w:t>否</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20</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磋商时间和地点</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olor w:val="auto"/>
                <w:sz w:val="24"/>
              </w:rPr>
            </w:pPr>
            <w:r>
              <w:rPr>
                <w:rFonts w:hint="eastAsia" w:ascii="宋体" w:hAnsi="宋体" w:eastAsia="宋体"/>
                <w:color w:val="auto"/>
                <w:sz w:val="24"/>
              </w:rPr>
              <w:t>磋商</w:t>
            </w:r>
            <w:r>
              <w:rPr>
                <w:rFonts w:ascii="宋体" w:hAnsi="宋体" w:eastAsia="宋体"/>
                <w:color w:val="auto"/>
                <w:sz w:val="24"/>
              </w:rPr>
              <w:t>时间</w:t>
            </w:r>
            <w:r>
              <w:rPr>
                <w:rFonts w:hint="eastAsia" w:ascii="宋体" w:hAnsi="宋体" w:eastAsia="宋体"/>
                <w:color w:val="auto"/>
                <w:sz w:val="24"/>
              </w:rPr>
              <w:t>：</w:t>
            </w:r>
            <w:r>
              <w:rPr>
                <w:rFonts w:ascii="宋体" w:hAnsi="宋体" w:eastAsia="宋体"/>
                <w:color w:val="auto"/>
                <w:sz w:val="24"/>
              </w:rPr>
              <w:t>同</w:t>
            </w:r>
            <w:r>
              <w:rPr>
                <w:rFonts w:hint="eastAsia" w:ascii="宋体" w:hAnsi="宋体" w:eastAsia="宋体"/>
                <w:color w:val="auto"/>
                <w:sz w:val="24"/>
              </w:rPr>
              <w:t>磋商</w:t>
            </w:r>
            <w:r>
              <w:rPr>
                <w:rFonts w:ascii="宋体" w:hAnsi="宋体" w:eastAsia="宋体"/>
                <w:color w:val="auto"/>
                <w:sz w:val="24"/>
              </w:rPr>
              <w:t>截止时间</w:t>
            </w:r>
            <w:r>
              <w:rPr>
                <w:rFonts w:hint="eastAsia" w:ascii="宋体" w:hAnsi="宋体" w:eastAsia="宋体"/>
                <w:color w:val="auto"/>
                <w:sz w:val="24"/>
              </w:rPr>
              <w:t>；</w:t>
            </w:r>
          </w:p>
          <w:p>
            <w:pPr>
              <w:spacing w:line="320" w:lineRule="exact"/>
              <w:rPr>
                <w:rFonts w:ascii="宋体" w:hAnsi="宋体" w:eastAsia="宋体"/>
                <w:color w:val="auto"/>
                <w:sz w:val="24"/>
              </w:rPr>
            </w:pPr>
            <w:r>
              <w:rPr>
                <w:rFonts w:hint="eastAsia" w:ascii="宋体" w:hAnsi="宋体" w:eastAsia="宋体"/>
                <w:color w:val="auto"/>
                <w:sz w:val="24"/>
              </w:rPr>
              <w:t>磋商</w:t>
            </w:r>
            <w:r>
              <w:rPr>
                <w:rFonts w:ascii="宋体" w:hAnsi="宋体" w:eastAsia="宋体"/>
                <w:color w:val="auto"/>
                <w:sz w:val="24"/>
              </w:rPr>
              <w:t>地点</w:t>
            </w:r>
            <w:r>
              <w:rPr>
                <w:rFonts w:hint="eastAsia" w:ascii="宋体" w:hAnsi="宋体" w:eastAsia="宋体"/>
                <w:color w:val="auto"/>
                <w:sz w:val="24"/>
              </w:rPr>
              <w:t>：同磋商文件递交地点；</w:t>
            </w:r>
          </w:p>
        </w:tc>
      </w:tr>
      <w:tr>
        <w:tblPrEx>
          <w:tblCellMar>
            <w:top w:w="0" w:type="dxa"/>
            <w:left w:w="108" w:type="dxa"/>
            <w:bottom w:w="0" w:type="dxa"/>
            <w:right w:w="108" w:type="dxa"/>
          </w:tblCellMar>
        </w:tblPrEx>
        <w:trPr>
          <w:trHeight w:val="504" w:hRule="atLeast"/>
        </w:trPr>
        <w:tc>
          <w:tcPr>
            <w:tcW w:w="1009" w:type="dxa"/>
            <w:tcBorders>
              <w:top w:val="single" w:color="auto" w:sz="4" w:space="0"/>
              <w:left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21</w:t>
            </w:r>
          </w:p>
        </w:tc>
        <w:tc>
          <w:tcPr>
            <w:tcW w:w="2643" w:type="dxa"/>
            <w:tcBorders>
              <w:top w:val="single" w:color="auto" w:sz="4" w:space="0"/>
              <w:left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磋商委员会的组建</w:t>
            </w:r>
          </w:p>
        </w:tc>
        <w:tc>
          <w:tcPr>
            <w:tcW w:w="5812" w:type="dxa"/>
            <w:tcBorders>
              <w:top w:val="single" w:color="auto" w:sz="4" w:space="0"/>
              <w:left w:val="single" w:color="auto" w:sz="4" w:space="0"/>
              <w:right w:val="single" w:color="auto" w:sz="4" w:space="0"/>
            </w:tcBorders>
            <w:vAlign w:val="center"/>
          </w:tcPr>
          <w:p>
            <w:pPr>
              <w:spacing w:line="320" w:lineRule="exact"/>
              <w:rPr>
                <w:rFonts w:ascii="宋体" w:hAnsi="宋体" w:eastAsia="宋体"/>
                <w:color w:val="auto"/>
                <w:sz w:val="24"/>
              </w:rPr>
            </w:pPr>
            <w:r>
              <w:rPr>
                <w:rFonts w:hint="eastAsia" w:ascii="宋体" w:hAnsi="宋体" w:eastAsia="宋体"/>
                <w:color w:val="auto"/>
                <w:sz w:val="24"/>
              </w:rPr>
              <w:t>磋商小组成员人数为 3 人以上单数组成， 其中专家不得少于成员总人数的三分之二。 磋商小组专家由采购人依法组成， 采购人从湖北师范大学专家库中随机抽取产生</w:t>
            </w:r>
          </w:p>
        </w:tc>
      </w:tr>
      <w:tr>
        <w:tblPrEx>
          <w:tblCellMar>
            <w:top w:w="0" w:type="dxa"/>
            <w:left w:w="108" w:type="dxa"/>
            <w:bottom w:w="0" w:type="dxa"/>
            <w:right w:w="108" w:type="dxa"/>
          </w:tblCellMar>
        </w:tblPrEx>
        <w:trPr>
          <w:trHeight w:val="499"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22</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成交结果公示媒介</w:t>
            </w:r>
          </w:p>
        </w:tc>
        <w:tc>
          <w:tcPr>
            <w:tcW w:w="5812"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eastAsia="宋体"/>
                <w:color w:val="auto"/>
                <w:sz w:val="24"/>
              </w:rPr>
            </w:pPr>
            <w:r>
              <w:rPr>
                <w:rFonts w:hint="eastAsia" w:ascii="宋体" w:hAnsi="Calibri" w:cs="宋体"/>
                <w:color w:val="auto"/>
                <w:kern w:val="0"/>
                <w:sz w:val="24"/>
              </w:rPr>
              <w:t>湖北师范大学创新创业学院网</w:t>
            </w:r>
          </w:p>
        </w:tc>
      </w:tr>
      <w:tr>
        <w:tblPrEx>
          <w:tblCellMar>
            <w:top w:w="0" w:type="dxa"/>
            <w:left w:w="108" w:type="dxa"/>
            <w:bottom w:w="0" w:type="dxa"/>
            <w:right w:w="108" w:type="dxa"/>
          </w:tblCellMar>
        </w:tblPrEx>
        <w:trPr>
          <w:trHeight w:val="90"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23</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是否</w:t>
            </w:r>
            <w:r>
              <w:rPr>
                <w:rFonts w:hint="eastAsia" w:ascii="宋体" w:hAnsi="宋体" w:eastAsia="宋体"/>
                <w:bCs/>
                <w:color w:val="auto"/>
                <w:sz w:val="24"/>
              </w:rPr>
              <w:t>提交备选方案</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olor w:val="auto"/>
                <w:sz w:val="24"/>
              </w:rPr>
            </w:pPr>
            <w:r>
              <w:rPr>
                <w:rFonts w:hint="eastAsia" w:ascii="宋体" w:hAnsi="宋体" w:eastAsia="宋体"/>
                <w:color w:val="auto"/>
                <w:sz w:val="24"/>
              </w:rPr>
              <w:t>不提交</w:t>
            </w:r>
          </w:p>
        </w:tc>
      </w:tr>
      <w:tr>
        <w:tblPrEx>
          <w:tblCellMar>
            <w:top w:w="0" w:type="dxa"/>
            <w:left w:w="108" w:type="dxa"/>
            <w:bottom w:w="0" w:type="dxa"/>
            <w:right w:w="108" w:type="dxa"/>
          </w:tblCellMar>
        </w:tblPrEx>
        <w:trPr>
          <w:trHeight w:val="471"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24</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ascii="宋体" w:hAnsi="宋体" w:eastAsia="宋体"/>
                <w:color w:val="auto"/>
                <w:sz w:val="24"/>
              </w:rPr>
              <w:t>履约保证金</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eastAsia="宋体"/>
                <w:color w:val="auto"/>
                <w:sz w:val="24"/>
              </w:rPr>
            </w:pPr>
            <w:r>
              <w:rPr>
                <w:rFonts w:hint="eastAsia" w:ascii="宋体" w:hAnsi="宋体" w:eastAsia="宋体"/>
                <w:color w:val="auto"/>
                <w:sz w:val="24"/>
              </w:rPr>
              <w:t>不提交</w:t>
            </w:r>
          </w:p>
        </w:tc>
      </w:tr>
      <w:tr>
        <w:tblPrEx>
          <w:tblCellMar>
            <w:top w:w="0" w:type="dxa"/>
            <w:left w:w="108" w:type="dxa"/>
            <w:bottom w:w="0" w:type="dxa"/>
            <w:right w:w="108" w:type="dxa"/>
          </w:tblCellMar>
        </w:tblPrEx>
        <w:trPr>
          <w:trHeight w:val="409" w:hRule="atLeast"/>
        </w:trP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25</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auto"/>
                <w:spacing w:val="4"/>
                <w:kern w:val="0"/>
                <w:sz w:val="24"/>
              </w:rPr>
            </w:pPr>
            <w:r>
              <w:rPr>
                <w:rFonts w:hint="eastAsia" w:ascii="宋体" w:hAnsi="宋体" w:eastAsia="宋体"/>
                <w:color w:val="auto"/>
                <w:sz w:val="24"/>
              </w:rPr>
              <w:t>磋商</w:t>
            </w:r>
            <w:r>
              <w:rPr>
                <w:rFonts w:hint="eastAsia" w:ascii="宋体" w:hAnsi="宋体" w:eastAsia="宋体" w:cs="宋体"/>
                <w:color w:val="auto"/>
                <w:spacing w:val="4"/>
                <w:kern w:val="0"/>
                <w:sz w:val="24"/>
              </w:rPr>
              <w:t>文件份数</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color w:val="auto"/>
                <w:sz w:val="24"/>
              </w:rPr>
            </w:pPr>
            <w:r>
              <w:rPr>
                <w:rFonts w:hint="eastAsia" w:ascii="新宋体" w:hAnsi="新宋体" w:eastAsia="新宋体" w:cs="宋体"/>
                <w:b/>
                <w:color w:val="auto"/>
                <w:spacing w:val="4"/>
                <w:kern w:val="0"/>
                <w:sz w:val="24"/>
              </w:rPr>
              <w:t>已加盖公章的电子加密响应文件（PDF 格式）一份，中标供应商提供与磋商响应文件PDF版相同内容的纸质版磋商响应文件叁份（正本1份、副本2份）。</w:t>
            </w:r>
          </w:p>
        </w:tc>
      </w:tr>
      <w:tr>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26</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olor w:val="auto"/>
                <w:sz w:val="24"/>
              </w:rPr>
            </w:pPr>
            <w:r>
              <w:rPr>
                <w:rFonts w:hint="eastAsia" w:ascii="新宋体" w:hAnsi="新宋体" w:eastAsia="新宋体"/>
                <w:color w:val="auto"/>
                <w:sz w:val="24"/>
              </w:rPr>
              <w:t>评审办法</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新宋体" w:hAnsi="新宋体" w:eastAsia="新宋体"/>
                <w:color w:val="auto"/>
                <w:sz w:val="24"/>
              </w:rPr>
            </w:pPr>
            <w:r>
              <w:rPr>
                <w:rFonts w:hint="eastAsia" w:ascii="新宋体" w:hAnsi="新宋体" w:eastAsia="新宋体"/>
                <w:color w:val="auto"/>
                <w:sz w:val="24"/>
              </w:rPr>
              <w:t>综合评分法</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27</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olor w:val="auto"/>
                <w:sz w:val="24"/>
              </w:rPr>
            </w:pPr>
            <w:r>
              <w:rPr>
                <w:rFonts w:hint="eastAsia" w:ascii="宋体" w:hAnsi="宋体" w:eastAsia="宋体" w:cs="宋体"/>
                <w:color w:val="auto"/>
                <w:sz w:val="24"/>
              </w:rPr>
              <w:t>磋商出席要求</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新宋体" w:hAnsi="新宋体" w:eastAsia="新宋体"/>
                <w:color w:val="auto"/>
                <w:sz w:val="24"/>
              </w:rPr>
            </w:pPr>
            <w:r>
              <w:rPr>
                <w:rFonts w:hint="eastAsia" w:ascii="宋体" w:hAnsi="宋体" w:eastAsia="宋体" w:cs="宋体"/>
                <w:color w:val="auto"/>
                <w:sz w:val="24"/>
              </w:rPr>
              <w:t>磋商时，磋商单位的法定代表人或其委托代理人须参加磋商会议。如磋商时为法定代表人参加，则法定代表人须携带法定代表人身份证明文件及身份证；如磋商时为法定代表人的委托代理人参加，授权委托代理人须携带法定代表人授权委托书、身份证，准时参加磋商并在签到簿上签到。其他人不允许进入磋商会议室。</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28</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付款方式</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eastAsia="宋体" w:cs="宋体"/>
                <w:color w:val="auto"/>
                <w:sz w:val="24"/>
              </w:rPr>
            </w:pPr>
            <w:r>
              <w:rPr>
                <w:rFonts w:hint="eastAsia" w:ascii="宋体" w:hAnsi="宋体" w:eastAsia="宋体" w:cs="宋体"/>
                <w:color w:val="auto"/>
                <w:sz w:val="24"/>
              </w:rPr>
              <w:t>本项目不支付预付款，待合同履行完毕验收合格后，甲方确认无误一次性付清合同约定的项目款。</w:t>
            </w:r>
          </w:p>
        </w:tc>
      </w:tr>
      <w:tr>
        <w:tblPrEx>
          <w:tblCellMar>
            <w:top w:w="0" w:type="dxa"/>
            <w:left w:w="108" w:type="dxa"/>
            <w:bottom w:w="0" w:type="dxa"/>
            <w:right w:w="108" w:type="dxa"/>
          </w:tblCellMar>
        </w:tblPrEx>
        <w:tc>
          <w:tcPr>
            <w:tcW w:w="10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olor w:val="auto"/>
                <w:sz w:val="24"/>
              </w:rPr>
            </w:pPr>
            <w:r>
              <w:rPr>
                <w:rFonts w:hint="eastAsia" w:ascii="宋体" w:hAnsi="宋体" w:eastAsia="宋体"/>
                <w:color w:val="auto"/>
                <w:sz w:val="24"/>
              </w:rPr>
              <w:t>29</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其他说明</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eastAsia="宋体" w:cs="宋体"/>
                <w:color w:val="auto"/>
                <w:sz w:val="24"/>
              </w:rPr>
            </w:pPr>
            <w:r>
              <w:rPr>
                <w:rFonts w:hint="eastAsia" w:ascii="宋体" w:hAnsi="宋体" w:eastAsia="宋体" w:cs="宋体"/>
                <w:color w:val="auto"/>
                <w:sz w:val="24"/>
              </w:rPr>
              <w:t>根据“财库〔2015〕124号——财政部关于政府采购竞争性磋商采购方式管理暂行办法有关问题的补充通知”：在采购过程中符合要求的供应商（社会资本）只有2家的，竞争性磋商采购活动可以继续进行。</w:t>
            </w:r>
          </w:p>
        </w:tc>
      </w:tr>
    </w:tbl>
    <w:p>
      <w:pPr>
        <w:adjustRightInd w:val="0"/>
        <w:snapToGrid w:val="0"/>
        <w:jc w:val="center"/>
        <w:rPr>
          <w:rFonts w:ascii="宋体" w:hAnsi="宋体" w:eastAsia="宋体"/>
          <w:b/>
          <w:bCs/>
          <w:color w:val="auto"/>
          <w:sz w:val="24"/>
        </w:rPr>
      </w:pPr>
      <w:r>
        <w:rPr>
          <w:rFonts w:hint="eastAsia" w:ascii="宋体" w:hAnsi="宋体" w:eastAsia="宋体"/>
          <w:b/>
          <w:bCs/>
          <w:color w:val="auto"/>
          <w:sz w:val="32"/>
        </w:rPr>
        <w:br w:type="page"/>
      </w:r>
      <w:r>
        <w:rPr>
          <w:rFonts w:hint="eastAsia" w:ascii="宋体" w:hAnsi="宋体" w:eastAsia="宋体"/>
          <w:b/>
          <w:bCs/>
          <w:color w:val="auto"/>
          <w:sz w:val="24"/>
        </w:rPr>
        <w:t>二、磋商须知</w:t>
      </w:r>
    </w:p>
    <w:p>
      <w:pPr>
        <w:adjustRightInd w:val="0"/>
        <w:snapToGrid w:val="0"/>
        <w:jc w:val="center"/>
        <w:rPr>
          <w:rFonts w:ascii="宋体" w:hAnsi="宋体" w:eastAsia="宋体"/>
          <w:b/>
          <w:bCs/>
          <w:color w:val="auto"/>
          <w:sz w:val="24"/>
        </w:rPr>
      </w:pPr>
      <w:r>
        <w:rPr>
          <w:rFonts w:hint="eastAsia" w:ascii="宋体" w:hAnsi="宋体" w:eastAsia="宋体"/>
          <w:b/>
          <w:bCs/>
          <w:color w:val="auto"/>
          <w:sz w:val="24"/>
        </w:rPr>
        <w:t>（一）总  则</w:t>
      </w:r>
    </w:p>
    <w:p>
      <w:pPr>
        <w:adjustRightInd w:val="0"/>
        <w:snapToGrid w:val="0"/>
        <w:jc w:val="center"/>
        <w:rPr>
          <w:rFonts w:ascii="宋体" w:hAnsi="宋体" w:eastAsia="宋体"/>
          <w:b/>
          <w:bCs/>
          <w:color w:val="auto"/>
          <w:sz w:val="32"/>
        </w:rPr>
      </w:pPr>
    </w:p>
    <w:p>
      <w:pPr>
        <w:adjustRightInd w:val="0"/>
        <w:snapToGrid w:val="0"/>
        <w:spacing w:line="360" w:lineRule="auto"/>
        <w:rPr>
          <w:rFonts w:ascii="宋体" w:hAnsi="宋体" w:eastAsia="宋体"/>
          <w:color w:val="auto"/>
          <w:sz w:val="24"/>
        </w:rPr>
      </w:pPr>
      <w:r>
        <w:rPr>
          <w:rFonts w:hint="eastAsia" w:ascii="宋体" w:hAnsi="宋体" w:eastAsia="宋体"/>
          <w:b/>
          <w:bCs/>
          <w:color w:val="auto"/>
          <w:sz w:val="24"/>
        </w:rPr>
        <w:t>l.服务说明</w:t>
      </w:r>
    </w:p>
    <w:p>
      <w:pPr>
        <w:adjustRightInd w:val="0"/>
        <w:snapToGrid w:val="0"/>
        <w:spacing w:line="360" w:lineRule="auto"/>
        <w:rPr>
          <w:rFonts w:ascii="宋体" w:hAnsi="宋体" w:eastAsia="宋体"/>
          <w:color w:val="auto"/>
          <w:sz w:val="24"/>
        </w:rPr>
      </w:pPr>
      <w:r>
        <w:rPr>
          <w:rFonts w:hint="eastAsia" w:ascii="宋体" w:hAnsi="宋体" w:eastAsia="宋体"/>
          <w:color w:val="auto"/>
          <w:sz w:val="24"/>
        </w:rPr>
        <w:t xml:space="preserve">    本磋商项目按照《中华人民共和国政府采购法》及《中华人民共和国政府采购法实施条例》等有关法律、行政法规和部门规章，通过竞争性磋商方式选定供应商。</w:t>
      </w:r>
    </w:p>
    <w:p>
      <w:pPr>
        <w:adjustRightInd w:val="0"/>
        <w:snapToGrid w:val="0"/>
        <w:spacing w:line="360" w:lineRule="auto"/>
        <w:rPr>
          <w:rFonts w:ascii="宋体" w:hAnsi="宋体" w:eastAsia="宋体"/>
          <w:b/>
          <w:bCs/>
          <w:color w:val="auto"/>
          <w:sz w:val="24"/>
        </w:rPr>
      </w:pPr>
      <w:r>
        <w:rPr>
          <w:rFonts w:hint="eastAsia" w:ascii="宋体" w:hAnsi="宋体" w:eastAsia="宋体"/>
          <w:b/>
          <w:bCs/>
          <w:color w:val="auto"/>
          <w:sz w:val="24"/>
        </w:rPr>
        <w:t>2.招标范围及工期：见前附表</w:t>
      </w:r>
    </w:p>
    <w:p>
      <w:pPr>
        <w:adjustRightInd w:val="0"/>
        <w:snapToGrid w:val="0"/>
        <w:spacing w:line="360" w:lineRule="auto"/>
        <w:rPr>
          <w:rFonts w:ascii="宋体" w:hAnsi="宋体" w:eastAsia="宋体"/>
          <w:color w:val="auto"/>
          <w:sz w:val="24"/>
        </w:rPr>
      </w:pPr>
      <w:r>
        <w:rPr>
          <w:rFonts w:hint="eastAsia" w:ascii="宋体" w:hAnsi="宋体" w:eastAsia="宋体"/>
          <w:b/>
          <w:bCs/>
          <w:color w:val="auto"/>
          <w:sz w:val="24"/>
        </w:rPr>
        <w:t>3.资金来源：见前附表</w:t>
      </w:r>
    </w:p>
    <w:p>
      <w:pPr>
        <w:adjustRightInd w:val="0"/>
        <w:snapToGrid w:val="0"/>
        <w:spacing w:line="360" w:lineRule="auto"/>
        <w:rPr>
          <w:rFonts w:ascii="宋体" w:hAnsi="宋体" w:eastAsia="宋体"/>
          <w:b/>
          <w:bCs/>
          <w:color w:val="auto"/>
          <w:sz w:val="24"/>
        </w:rPr>
      </w:pPr>
      <w:r>
        <w:rPr>
          <w:rFonts w:hint="eastAsia" w:ascii="宋体" w:hAnsi="宋体" w:eastAsia="宋体"/>
          <w:b/>
          <w:bCs/>
          <w:color w:val="auto"/>
          <w:sz w:val="24"/>
        </w:rPr>
        <w:t>4.合格的磋商供应商：见前附表</w:t>
      </w:r>
    </w:p>
    <w:p>
      <w:pPr>
        <w:adjustRightInd w:val="0"/>
        <w:snapToGrid w:val="0"/>
        <w:spacing w:line="360" w:lineRule="auto"/>
        <w:rPr>
          <w:rFonts w:ascii="宋体" w:hAnsi="宋体" w:eastAsia="宋体"/>
          <w:b/>
          <w:bCs/>
          <w:color w:val="auto"/>
          <w:sz w:val="24"/>
        </w:rPr>
      </w:pPr>
      <w:r>
        <w:rPr>
          <w:rFonts w:hint="eastAsia" w:ascii="宋体" w:hAnsi="宋体" w:eastAsia="宋体"/>
          <w:b/>
          <w:bCs/>
          <w:color w:val="auto"/>
          <w:sz w:val="24"/>
        </w:rPr>
        <w:t>5.踏勘现场</w:t>
      </w:r>
    </w:p>
    <w:p>
      <w:pPr>
        <w:adjustRightInd w:val="0"/>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rPr>
        <w:t>5.1本项目不组织踏勘。</w:t>
      </w:r>
    </w:p>
    <w:p>
      <w:pPr>
        <w:adjustRightInd w:val="0"/>
        <w:snapToGrid w:val="0"/>
        <w:spacing w:line="360" w:lineRule="auto"/>
        <w:rPr>
          <w:rFonts w:ascii="宋体" w:hAnsi="宋体" w:eastAsia="宋体"/>
          <w:b/>
          <w:bCs/>
          <w:color w:val="auto"/>
          <w:sz w:val="24"/>
        </w:rPr>
      </w:pPr>
      <w:r>
        <w:rPr>
          <w:rFonts w:hint="eastAsia" w:ascii="宋体" w:hAnsi="宋体" w:eastAsia="宋体"/>
          <w:b/>
          <w:bCs/>
          <w:color w:val="auto"/>
          <w:sz w:val="24"/>
        </w:rPr>
        <w:t>6.磋商费用</w:t>
      </w:r>
    </w:p>
    <w:p>
      <w:pPr>
        <w:adjustRightInd w:val="0"/>
        <w:snapToGrid w:val="0"/>
        <w:spacing w:line="360" w:lineRule="auto"/>
        <w:rPr>
          <w:rFonts w:ascii="宋体" w:hAnsi="宋体" w:eastAsia="宋体"/>
          <w:color w:val="auto"/>
          <w:sz w:val="24"/>
        </w:rPr>
      </w:pPr>
      <w:r>
        <w:rPr>
          <w:rFonts w:hint="eastAsia" w:ascii="宋体" w:hAnsi="宋体" w:eastAsia="宋体"/>
          <w:color w:val="auto"/>
          <w:sz w:val="24"/>
        </w:rPr>
        <w:t xml:space="preserve">   6.1磋商供应商应承担参加本磋商活动自身所发生的费用。</w:t>
      </w:r>
    </w:p>
    <w:p>
      <w:pPr>
        <w:adjustRightInd w:val="0"/>
        <w:snapToGrid w:val="0"/>
        <w:spacing w:line="360" w:lineRule="auto"/>
        <w:jc w:val="center"/>
        <w:rPr>
          <w:rFonts w:ascii="宋体" w:hAnsi="宋体" w:eastAsia="宋体"/>
          <w:b/>
          <w:bCs/>
          <w:color w:val="auto"/>
          <w:sz w:val="24"/>
        </w:rPr>
      </w:pPr>
      <w:r>
        <w:rPr>
          <w:rFonts w:hint="eastAsia" w:ascii="宋体" w:hAnsi="宋体" w:eastAsia="宋体"/>
          <w:b/>
          <w:bCs/>
          <w:color w:val="auto"/>
          <w:sz w:val="24"/>
        </w:rPr>
        <w:t>(二) 磋 商 文 件</w:t>
      </w:r>
    </w:p>
    <w:p>
      <w:pPr>
        <w:adjustRightInd w:val="0"/>
        <w:snapToGrid w:val="0"/>
        <w:spacing w:line="360" w:lineRule="auto"/>
        <w:rPr>
          <w:rFonts w:ascii="宋体" w:hAnsi="宋体" w:eastAsia="宋体"/>
          <w:b/>
          <w:bCs/>
          <w:color w:val="auto"/>
          <w:sz w:val="24"/>
        </w:rPr>
      </w:pPr>
      <w:r>
        <w:rPr>
          <w:rFonts w:hint="eastAsia" w:ascii="宋体" w:hAnsi="宋体" w:eastAsia="宋体"/>
          <w:b/>
          <w:bCs/>
          <w:color w:val="auto"/>
          <w:sz w:val="24"/>
        </w:rPr>
        <w:t>7.本磋商文件的组成</w:t>
      </w:r>
    </w:p>
    <w:p>
      <w:pPr>
        <w:adjustRightInd w:val="0"/>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rPr>
        <w:t>7.1磋商文件包括下列内容</w:t>
      </w:r>
    </w:p>
    <w:p>
      <w:pPr>
        <w:adjustRightInd w:val="0"/>
        <w:snapToGrid w:val="0"/>
        <w:spacing w:line="360" w:lineRule="auto"/>
        <w:ind w:left="540" w:leftChars="257"/>
        <w:rPr>
          <w:rFonts w:ascii="宋体" w:hAnsi="宋体" w:eastAsia="宋体"/>
          <w:bCs/>
          <w:color w:val="auto"/>
          <w:sz w:val="24"/>
        </w:rPr>
      </w:pPr>
      <w:r>
        <w:rPr>
          <w:rFonts w:hint="eastAsia" w:ascii="宋体" w:hAnsi="宋体" w:eastAsia="宋体"/>
          <w:bCs/>
          <w:color w:val="auto"/>
          <w:sz w:val="24"/>
        </w:rPr>
        <w:t>第一章 磋商公告</w:t>
      </w:r>
    </w:p>
    <w:p>
      <w:pPr>
        <w:adjustRightInd w:val="0"/>
        <w:snapToGrid w:val="0"/>
        <w:spacing w:line="360" w:lineRule="auto"/>
        <w:ind w:left="540" w:leftChars="257"/>
        <w:rPr>
          <w:rFonts w:ascii="宋体" w:hAnsi="宋体" w:eastAsia="宋体"/>
          <w:bCs/>
          <w:color w:val="auto"/>
          <w:sz w:val="24"/>
        </w:rPr>
      </w:pPr>
      <w:r>
        <w:rPr>
          <w:rFonts w:hint="eastAsia" w:ascii="宋体" w:hAnsi="宋体" w:eastAsia="宋体"/>
          <w:bCs/>
          <w:color w:val="auto"/>
          <w:sz w:val="24"/>
        </w:rPr>
        <w:t>第二章 磋商须知及磋商须知前附表</w:t>
      </w:r>
    </w:p>
    <w:p>
      <w:pPr>
        <w:adjustRightInd w:val="0"/>
        <w:snapToGrid w:val="0"/>
        <w:spacing w:line="360" w:lineRule="auto"/>
        <w:ind w:firstLine="540" w:firstLineChars="225"/>
        <w:rPr>
          <w:rFonts w:ascii="宋体" w:hAnsi="宋体" w:eastAsia="宋体"/>
          <w:color w:val="auto"/>
          <w:sz w:val="24"/>
        </w:rPr>
      </w:pPr>
      <w:r>
        <w:rPr>
          <w:rFonts w:hint="eastAsia" w:ascii="宋体" w:hAnsi="宋体" w:eastAsia="宋体"/>
          <w:bCs/>
          <w:color w:val="auto"/>
          <w:sz w:val="24"/>
        </w:rPr>
        <w:t>第三章 项目需求</w:t>
      </w:r>
    </w:p>
    <w:p>
      <w:pPr>
        <w:adjustRightInd w:val="0"/>
        <w:snapToGrid w:val="0"/>
        <w:spacing w:line="360" w:lineRule="auto"/>
        <w:ind w:left="540" w:leftChars="257"/>
        <w:rPr>
          <w:rFonts w:ascii="宋体" w:hAnsi="宋体" w:eastAsia="宋体"/>
          <w:bCs/>
          <w:color w:val="auto"/>
          <w:sz w:val="24"/>
        </w:rPr>
      </w:pPr>
      <w:r>
        <w:rPr>
          <w:rFonts w:hint="eastAsia" w:ascii="宋体" w:hAnsi="宋体" w:eastAsia="宋体"/>
          <w:bCs/>
          <w:color w:val="auto"/>
          <w:sz w:val="24"/>
        </w:rPr>
        <w:t>第四章 合同主要条款</w:t>
      </w:r>
    </w:p>
    <w:p>
      <w:pPr>
        <w:adjustRightInd w:val="0"/>
        <w:snapToGrid w:val="0"/>
        <w:spacing w:line="360" w:lineRule="auto"/>
        <w:ind w:left="540" w:leftChars="257"/>
        <w:rPr>
          <w:rFonts w:ascii="宋体" w:hAnsi="宋体" w:eastAsia="宋体"/>
          <w:bCs/>
          <w:color w:val="auto"/>
          <w:sz w:val="24"/>
        </w:rPr>
      </w:pPr>
      <w:r>
        <w:rPr>
          <w:rFonts w:hint="eastAsia" w:ascii="宋体" w:hAnsi="宋体" w:eastAsia="宋体"/>
          <w:bCs/>
          <w:color w:val="auto"/>
          <w:sz w:val="24"/>
        </w:rPr>
        <w:t>第五章 磋商办法</w:t>
      </w:r>
    </w:p>
    <w:p>
      <w:pPr>
        <w:adjustRightInd w:val="0"/>
        <w:snapToGrid w:val="0"/>
        <w:spacing w:line="360" w:lineRule="auto"/>
        <w:ind w:left="540" w:leftChars="257"/>
        <w:rPr>
          <w:rFonts w:ascii="宋体" w:hAnsi="宋体" w:eastAsia="宋体"/>
          <w:color w:val="auto"/>
          <w:sz w:val="24"/>
        </w:rPr>
      </w:pPr>
      <w:r>
        <w:rPr>
          <w:rFonts w:hint="eastAsia" w:ascii="宋体" w:hAnsi="宋体" w:eastAsia="宋体"/>
          <w:bCs/>
          <w:color w:val="auto"/>
          <w:sz w:val="24"/>
        </w:rPr>
        <w:t>第六章 磋商文件部分格式</w:t>
      </w:r>
    </w:p>
    <w:p>
      <w:pPr>
        <w:adjustRightInd w:val="0"/>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rPr>
        <w:t>7.2除7.l内容外，采购人在提交磋商文件截止日期5日前，在</w:t>
      </w:r>
      <w:r>
        <w:rPr>
          <w:rFonts w:hint="eastAsia" w:ascii="宋体" w:hAnsi="Calibri" w:cs="宋体"/>
          <w:color w:val="auto"/>
          <w:kern w:val="0"/>
          <w:sz w:val="24"/>
        </w:rPr>
        <w:t>湖北师范大学创新创业学院</w:t>
      </w:r>
      <w:r>
        <w:rPr>
          <w:rFonts w:hint="eastAsia" w:ascii="宋体" w:hAnsi="宋体" w:eastAsia="宋体"/>
          <w:color w:val="auto"/>
          <w:sz w:val="24"/>
        </w:rPr>
        <w:t>网上发出的对磋商文件的澄清或修改内容，均为磋商文件的组成部分，对采购人和磋商供应商起约束作用。</w:t>
      </w:r>
    </w:p>
    <w:p>
      <w:pPr>
        <w:adjustRightInd w:val="0"/>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rPr>
        <w:t>7.3磋商供应商同时应认真审阅磋商文件中所有的事项、格式、条款和规范要求等，若磋商供应商的磋商响应文件没有按磋商文件要求提交全部资料，或磋商响应文件没有对磋商文件做出实质性响应，其风险由磋商供应商自行承担，并根据有关条款规定，该磋商文件有可能被拒绝。</w:t>
      </w:r>
    </w:p>
    <w:p>
      <w:pPr>
        <w:adjustRightInd w:val="0"/>
        <w:snapToGrid w:val="0"/>
        <w:spacing w:line="360" w:lineRule="auto"/>
        <w:rPr>
          <w:rFonts w:ascii="宋体" w:hAnsi="宋体" w:eastAsia="宋体"/>
          <w:b/>
          <w:bCs/>
          <w:color w:val="auto"/>
          <w:sz w:val="24"/>
        </w:rPr>
      </w:pPr>
      <w:r>
        <w:rPr>
          <w:rFonts w:hint="eastAsia" w:ascii="宋体" w:hAnsi="宋体" w:eastAsia="宋体"/>
          <w:b/>
          <w:bCs/>
          <w:color w:val="auto"/>
          <w:sz w:val="24"/>
        </w:rPr>
        <w:t>8.磋商文件的澄清</w:t>
      </w:r>
    </w:p>
    <w:p>
      <w:pPr>
        <w:adjustRightInd w:val="0"/>
        <w:snapToGrid w:val="0"/>
        <w:spacing w:line="360" w:lineRule="auto"/>
        <w:ind w:firstLine="480" w:firstLineChars="200"/>
        <w:rPr>
          <w:rFonts w:ascii="宋体" w:hAnsi="宋体" w:eastAsia="宋体"/>
          <w:color w:val="auto"/>
          <w:kern w:val="10"/>
          <w:sz w:val="24"/>
        </w:rPr>
      </w:pPr>
      <w:r>
        <w:rPr>
          <w:rFonts w:hint="eastAsia" w:ascii="宋体" w:hAnsi="宋体" w:eastAsia="宋体"/>
          <w:color w:val="auto"/>
          <w:kern w:val="10"/>
          <w:sz w:val="24"/>
        </w:rPr>
        <w:t>磋商供应商若对磋商文件有任何疑问，应于磋商文件要求的时间前</w:t>
      </w:r>
      <w:r>
        <w:rPr>
          <w:rFonts w:hint="eastAsia" w:ascii="宋体" w:hAnsi="宋体" w:eastAsia="宋体"/>
          <w:color w:val="auto"/>
          <w:sz w:val="24"/>
        </w:rPr>
        <w:t>向湖北师范大学创新创业学院</w:t>
      </w:r>
      <w:r>
        <w:rPr>
          <w:rFonts w:hint="eastAsia" w:ascii="宋体" w:hAnsi="宋体" w:eastAsia="宋体"/>
          <w:color w:val="auto"/>
          <w:kern w:val="10"/>
          <w:sz w:val="24"/>
        </w:rPr>
        <w:t>提出澄清要求，无论是</w:t>
      </w:r>
      <w:r>
        <w:rPr>
          <w:rFonts w:hint="eastAsia" w:ascii="宋体" w:hAnsi="宋体" w:eastAsia="宋体"/>
          <w:color w:val="auto"/>
          <w:sz w:val="24"/>
        </w:rPr>
        <w:t>采购</w:t>
      </w:r>
      <w:r>
        <w:rPr>
          <w:rFonts w:hint="eastAsia" w:ascii="宋体" w:hAnsi="宋体" w:eastAsia="宋体"/>
          <w:color w:val="auto"/>
          <w:kern w:val="10"/>
          <w:sz w:val="24"/>
        </w:rPr>
        <w:t>人根据需要主动对磋商文件进行必要的澄清或是根据磋商供应商的要求对磋商文件做出澄清，</w:t>
      </w:r>
      <w:r>
        <w:rPr>
          <w:rFonts w:hint="eastAsia" w:ascii="宋体" w:hAnsi="宋体" w:eastAsia="宋体"/>
          <w:color w:val="auto"/>
          <w:sz w:val="24"/>
        </w:rPr>
        <w:t>采购人</w:t>
      </w:r>
      <w:r>
        <w:rPr>
          <w:rFonts w:hint="eastAsia" w:ascii="宋体" w:hAnsi="宋体" w:eastAsia="宋体"/>
          <w:color w:val="auto"/>
          <w:kern w:val="10"/>
          <w:sz w:val="24"/>
        </w:rPr>
        <w:t>都将</w:t>
      </w:r>
      <w:r>
        <w:rPr>
          <w:rFonts w:hint="eastAsia" w:ascii="宋体" w:hAnsi="宋体" w:eastAsia="宋体"/>
          <w:color w:val="auto"/>
          <w:sz w:val="24"/>
        </w:rPr>
        <w:t>在</w:t>
      </w:r>
      <w:r>
        <w:rPr>
          <w:rFonts w:hint="eastAsia" w:ascii="宋体" w:hAnsi="Calibri" w:cs="宋体"/>
          <w:color w:val="auto"/>
          <w:kern w:val="0"/>
          <w:sz w:val="24"/>
        </w:rPr>
        <w:t>湖北师范大学创新创业学院</w:t>
      </w:r>
      <w:r>
        <w:rPr>
          <w:rFonts w:hint="eastAsia" w:ascii="宋体" w:hAnsi="宋体" w:eastAsia="宋体"/>
          <w:color w:val="auto"/>
          <w:sz w:val="24"/>
        </w:rPr>
        <w:t>网</w:t>
      </w:r>
      <w:r>
        <w:rPr>
          <w:rFonts w:hint="eastAsia" w:ascii="宋体" w:hAnsi="宋体" w:eastAsia="宋体"/>
          <w:color w:val="auto"/>
          <w:kern w:val="10"/>
          <w:sz w:val="24"/>
        </w:rPr>
        <w:t>予以澄清。澄清内容具有约束作用。</w:t>
      </w:r>
    </w:p>
    <w:p>
      <w:pPr>
        <w:adjustRightInd w:val="0"/>
        <w:snapToGrid w:val="0"/>
        <w:spacing w:line="360" w:lineRule="auto"/>
        <w:rPr>
          <w:rFonts w:ascii="宋体" w:hAnsi="宋体" w:eastAsia="宋体"/>
          <w:b/>
          <w:bCs/>
          <w:color w:val="auto"/>
          <w:sz w:val="24"/>
        </w:rPr>
      </w:pPr>
      <w:r>
        <w:rPr>
          <w:rFonts w:hint="eastAsia" w:ascii="宋体" w:hAnsi="宋体" w:eastAsia="宋体"/>
          <w:b/>
          <w:bCs/>
          <w:color w:val="auto"/>
          <w:sz w:val="24"/>
        </w:rPr>
        <w:t>9.磋商文件的修改</w:t>
      </w:r>
    </w:p>
    <w:p>
      <w:pPr>
        <w:adjustRightInd w:val="0"/>
        <w:snapToGrid w:val="0"/>
        <w:spacing w:line="360" w:lineRule="auto"/>
        <w:rPr>
          <w:rFonts w:ascii="宋体" w:hAnsi="宋体" w:eastAsia="宋体"/>
          <w:color w:val="auto"/>
          <w:sz w:val="24"/>
        </w:rPr>
      </w:pPr>
      <w:r>
        <w:rPr>
          <w:rFonts w:hint="eastAsia" w:ascii="宋体" w:hAnsi="宋体" w:eastAsia="宋体"/>
          <w:color w:val="auto"/>
          <w:sz w:val="24"/>
        </w:rPr>
        <w:t xml:space="preserve">   9.l磋商文件发出后，在提交磋商响应文件截止时间 5 日前，采购人可对磋商文件进行必要的澄清或修改。</w:t>
      </w:r>
    </w:p>
    <w:p>
      <w:pPr>
        <w:adjustRightInd w:val="0"/>
        <w:snapToGrid w:val="0"/>
        <w:spacing w:line="360" w:lineRule="auto"/>
        <w:rPr>
          <w:rFonts w:ascii="宋体" w:hAnsi="宋体" w:eastAsia="宋体"/>
          <w:color w:val="auto"/>
          <w:sz w:val="24"/>
        </w:rPr>
      </w:pPr>
      <w:r>
        <w:rPr>
          <w:rFonts w:hint="eastAsia" w:ascii="宋体" w:hAnsi="宋体" w:eastAsia="宋体"/>
          <w:color w:val="auto"/>
          <w:sz w:val="24"/>
        </w:rPr>
        <w:t xml:space="preserve">   9.2磋商文件的修改将上传到</w:t>
      </w:r>
      <w:r>
        <w:rPr>
          <w:rFonts w:hint="eastAsia" w:ascii="宋体" w:hAnsi="Calibri" w:cs="宋体"/>
          <w:color w:val="auto"/>
          <w:kern w:val="0"/>
          <w:sz w:val="24"/>
        </w:rPr>
        <w:t>湖北师范大学创新创业学院</w:t>
      </w:r>
      <w:r>
        <w:rPr>
          <w:rFonts w:hint="eastAsia" w:ascii="宋体" w:hAnsi="宋体" w:eastAsia="宋体"/>
          <w:color w:val="auto"/>
          <w:sz w:val="24"/>
        </w:rPr>
        <w:t>网上，磋商文件的修改内容作为磋商文件的组成部分，具有约束作用。</w:t>
      </w:r>
    </w:p>
    <w:p>
      <w:pPr>
        <w:adjustRightInd w:val="0"/>
        <w:snapToGrid w:val="0"/>
        <w:spacing w:line="360" w:lineRule="auto"/>
        <w:rPr>
          <w:rFonts w:ascii="宋体" w:hAnsi="宋体" w:eastAsia="宋体"/>
          <w:color w:val="auto"/>
          <w:sz w:val="24"/>
        </w:rPr>
      </w:pPr>
      <w:r>
        <w:rPr>
          <w:rFonts w:hint="eastAsia" w:ascii="宋体" w:hAnsi="宋体" w:eastAsia="宋体"/>
          <w:color w:val="auto"/>
          <w:sz w:val="24"/>
        </w:rPr>
        <w:t xml:space="preserve">   9.3磋商文件的澄清、修改、补充等内容均以书面形式明确的内容为准。当磋商文件的澄清、修改、补充等在同一内容的表述上不一致时，以最后发出的书面文件为准。</w:t>
      </w:r>
    </w:p>
    <w:p>
      <w:pPr>
        <w:adjustRightInd w:val="0"/>
        <w:snapToGrid w:val="0"/>
        <w:spacing w:line="360" w:lineRule="auto"/>
        <w:rPr>
          <w:rFonts w:ascii="宋体" w:hAnsi="宋体" w:eastAsia="宋体"/>
          <w:b/>
          <w:bCs/>
          <w:color w:val="auto"/>
          <w:sz w:val="32"/>
        </w:rPr>
      </w:pPr>
      <w:r>
        <w:rPr>
          <w:rFonts w:hint="eastAsia" w:ascii="宋体" w:hAnsi="宋体" w:eastAsia="宋体"/>
          <w:color w:val="auto"/>
          <w:sz w:val="24"/>
        </w:rPr>
        <w:t xml:space="preserve">   9.4为使磋商供应商在编制磋商响应文件时有充分时间对磋商文件的澄清、修改、补充等内容进行研究，必要时，采购人将酌情延长提交磋商响应文件的截止时间，具体时间将在磋商文件的修改、补充通知中予以明确。</w:t>
      </w:r>
    </w:p>
    <w:p>
      <w:pPr>
        <w:adjustRightInd w:val="0"/>
        <w:snapToGrid w:val="0"/>
        <w:spacing w:line="360" w:lineRule="auto"/>
        <w:jc w:val="center"/>
        <w:rPr>
          <w:rFonts w:ascii="宋体" w:hAnsi="宋体" w:eastAsia="宋体"/>
          <w:b/>
          <w:bCs/>
          <w:color w:val="auto"/>
          <w:sz w:val="24"/>
        </w:rPr>
      </w:pPr>
      <w:r>
        <w:rPr>
          <w:rFonts w:hint="eastAsia" w:ascii="宋体" w:hAnsi="宋体" w:eastAsia="宋体"/>
          <w:b/>
          <w:bCs/>
          <w:color w:val="auto"/>
          <w:sz w:val="24"/>
        </w:rPr>
        <w:t>(三) 磋商响应文件的编制</w:t>
      </w:r>
    </w:p>
    <w:p>
      <w:pPr>
        <w:pStyle w:val="27"/>
        <w:tabs>
          <w:tab w:val="left" w:pos="1134"/>
          <w:tab w:val="left" w:pos="1155"/>
          <w:tab w:val="clear" w:pos="425"/>
        </w:tabs>
        <w:spacing w:before="0" w:after="0" w:line="360" w:lineRule="auto"/>
        <w:ind w:left="0" w:firstLine="0"/>
        <w:rPr>
          <w:rFonts w:ascii="宋体" w:eastAsia="宋体"/>
          <w:color w:val="auto"/>
          <w:sz w:val="24"/>
          <w:szCs w:val="24"/>
        </w:rPr>
      </w:pPr>
      <w:r>
        <w:rPr>
          <w:rFonts w:hint="eastAsia" w:ascii="宋体" w:eastAsia="宋体"/>
          <w:color w:val="auto"/>
          <w:sz w:val="24"/>
          <w:szCs w:val="24"/>
        </w:rPr>
        <w:t>10</w:t>
      </w:r>
      <w:bookmarkStart w:id="7" w:name="_Toc19135"/>
      <w:r>
        <w:rPr>
          <w:rFonts w:hint="eastAsia" w:ascii="宋体" w:eastAsia="宋体"/>
          <w:color w:val="auto"/>
          <w:sz w:val="24"/>
          <w:szCs w:val="24"/>
        </w:rPr>
        <w:t>.磋商响应文件</w:t>
      </w:r>
      <w:r>
        <w:rPr>
          <w:rFonts w:ascii="宋体" w:eastAsia="宋体"/>
          <w:color w:val="auto"/>
          <w:sz w:val="24"/>
          <w:szCs w:val="24"/>
        </w:rPr>
        <w:t>的语言及计量</w:t>
      </w:r>
      <w:bookmarkEnd w:id="7"/>
    </w:p>
    <w:p>
      <w:pPr>
        <w:pStyle w:val="27"/>
        <w:tabs>
          <w:tab w:val="left" w:pos="1134"/>
          <w:tab w:val="left" w:pos="1155"/>
          <w:tab w:val="clear" w:pos="425"/>
        </w:tabs>
        <w:spacing w:before="0" w:after="0" w:line="360" w:lineRule="auto"/>
        <w:ind w:left="0" w:firstLine="360" w:firstLineChars="150"/>
        <w:rPr>
          <w:rFonts w:ascii="宋体" w:eastAsia="宋体"/>
          <w:b w:val="0"/>
          <w:bCs w:val="0"/>
          <w:color w:val="auto"/>
          <w:sz w:val="24"/>
        </w:rPr>
      </w:pPr>
      <w:r>
        <w:rPr>
          <w:rFonts w:hint="eastAsia" w:ascii="宋体" w:eastAsia="宋体"/>
          <w:b w:val="0"/>
          <w:bCs w:val="0"/>
          <w:color w:val="auto"/>
          <w:sz w:val="24"/>
          <w:szCs w:val="24"/>
        </w:rPr>
        <w:t>10.1</w:t>
      </w:r>
      <w:r>
        <w:rPr>
          <w:rFonts w:hint="eastAsia" w:ascii="宋体" w:eastAsia="宋体"/>
          <w:b w:val="0"/>
          <w:bCs w:val="0"/>
          <w:color w:val="auto"/>
          <w:sz w:val="24"/>
        </w:rPr>
        <w:t>磋商供应商</w:t>
      </w:r>
      <w:r>
        <w:rPr>
          <w:rFonts w:ascii="宋体" w:eastAsia="宋体"/>
          <w:b w:val="0"/>
          <w:bCs w:val="0"/>
          <w:color w:val="auto"/>
          <w:sz w:val="24"/>
        </w:rPr>
        <w:t>提交的</w:t>
      </w:r>
      <w:r>
        <w:rPr>
          <w:rFonts w:hint="eastAsia" w:ascii="宋体" w:eastAsia="宋体"/>
          <w:b w:val="0"/>
          <w:bCs w:val="0"/>
          <w:color w:val="auto"/>
          <w:sz w:val="24"/>
        </w:rPr>
        <w:t>磋商响应文件</w:t>
      </w:r>
      <w:r>
        <w:rPr>
          <w:rFonts w:ascii="宋体" w:eastAsia="宋体"/>
          <w:b w:val="0"/>
          <w:bCs w:val="0"/>
          <w:color w:val="auto"/>
          <w:sz w:val="24"/>
        </w:rPr>
        <w:t>以及</w:t>
      </w:r>
      <w:r>
        <w:rPr>
          <w:rFonts w:hint="eastAsia" w:ascii="宋体" w:eastAsia="宋体"/>
          <w:b w:val="0"/>
          <w:bCs w:val="0"/>
          <w:color w:val="auto"/>
          <w:sz w:val="24"/>
        </w:rPr>
        <w:t>磋商供应商</w:t>
      </w:r>
      <w:r>
        <w:rPr>
          <w:rFonts w:ascii="宋体" w:eastAsia="宋体"/>
          <w:b w:val="0"/>
          <w:bCs w:val="0"/>
          <w:color w:val="auto"/>
          <w:sz w:val="24"/>
        </w:rPr>
        <w:t>与</w:t>
      </w:r>
      <w:r>
        <w:rPr>
          <w:rFonts w:hint="eastAsia" w:ascii="宋体" w:eastAsia="宋体"/>
          <w:b w:val="0"/>
          <w:bCs w:val="0"/>
          <w:color w:val="auto"/>
          <w:sz w:val="24"/>
        </w:rPr>
        <w:t>采购</w:t>
      </w:r>
      <w:r>
        <w:rPr>
          <w:rFonts w:ascii="宋体" w:eastAsia="宋体"/>
          <w:b w:val="0"/>
          <w:bCs w:val="0"/>
          <w:color w:val="auto"/>
          <w:sz w:val="24"/>
        </w:rPr>
        <w:t>人就有关</w:t>
      </w:r>
      <w:r>
        <w:rPr>
          <w:rFonts w:hint="eastAsia" w:ascii="宋体" w:eastAsia="宋体"/>
          <w:b w:val="0"/>
          <w:bCs w:val="0"/>
          <w:color w:val="auto"/>
          <w:sz w:val="24"/>
        </w:rPr>
        <w:t>磋商</w:t>
      </w:r>
      <w:r>
        <w:rPr>
          <w:rFonts w:ascii="宋体" w:eastAsia="宋体"/>
          <w:b w:val="0"/>
          <w:bCs w:val="0"/>
          <w:color w:val="auto"/>
          <w:sz w:val="24"/>
        </w:rPr>
        <w:t>的所有往来函电均应使用中文书写。</w:t>
      </w:r>
      <w:r>
        <w:rPr>
          <w:rFonts w:hint="eastAsia" w:ascii="宋体" w:eastAsia="宋体"/>
          <w:b w:val="0"/>
          <w:bCs w:val="0"/>
          <w:color w:val="auto"/>
          <w:sz w:val="24"/>
        </w:rPr>
        <w:t>磋商供应商</w:t>
      </w:r>
      <w:r>
        <w:rPr>
          <w:rFonts w:ascii="宋体" w:eastAsia="宋体"/>
          <w:b w:val="0"/>
          <w:bCs w:val="0"/>
          <w:color w:val="auto"/>
          <w:sz w:val="24"/>
        </w:rPr>
        <w:t>提交的支持文件和印制的文献可以用另一种语言，但相应内容应附中文翻译本，在存在差异和矛盾时以中文翻译本为准。</w:t>
      </w:r>
    </w:p>
    <w:p>
      <w:pPr>
        <w:pStyle w:val="27"/>
        <w:tabs>
          <w:tab w:val="left" w:pos="1134"/>
          <w:tab w:val="left" w:pos="1155"/>
          <w:tab w:val="clear" w:pos="425"/>
        </w:tabs>
        <w:spacing w:before="0" w:after="0" w:line="360" w:lineRule="auto"/>
        <w:ind w:left="0" w:firstLine="0"/>
        <w:rPr>
          <w:rFonts w:ascii="宋体" w:eastAsia="宋体"/>
          <w:b w:val="0"/>
          <w:bCs w:val="0"/>
          <w:color w:val="auto"/>
          <w:sz w:val="24"/>
        </w:rPr>
      </w:pPr>
      <w:r>
        <w:rPr>
          <w:rFonts w:hint="eastAsia" w:ascii="宋体" w:eastAsia="宋体"/>
          <w:b w:val="0"/>
          <w:bCs w:val="0"/>
          <w:color w:val="auto"/>
          <w:sz w:val="24"/>
        </w:rPr>
        <w:t xml:space="preserve">   10.2</w:t>
      </w:r>
      <w:r>
        <w:rPr>
          <w:rFonts w:ascii="宋体" w:eastAsia="宋体"/>
          <w:b w:val="0"/>
          <w:bCs w:val="0"/>
          <w:color w:val="auto"/>
          <w:sz w:val="24"/>
        </w:rPr>
        <w:t>除</w:t>
      </w:r>
      <w:r>
        <w:rPr>
          <w:rFonts w:hint="eastAsia" w:ascii="宋体" w:eastAsia="宋体"/>
          <w:b w:val="0"/>
          <w:bCs w:val="0"/>
          <w:color w:val="auto"/>
          <w:sz w:val="24"/>
        </w:rPr>
        <w:t>磋商文件</w:t>
      </w:r>
      <w:r>
        <w:rPr>
          <w:rFonts w:ascii="宋体" w:eastAsia="宋体"/>
          <w:b w:val="0"/>
          <w:bCs w:val="0"/>
          <w:color w:val="auto"/>
          <w:sz w:val="24"/>
        </w:rPr>
        <w:t>另有规定外，在</w:t>
      </w:r>
      <w:r>
        <w:rPr>
          <w:rFonts w:hint="eastAsia" w:ascii="宋体" w:eastAsia="宋体"/>
          <w:b w:val="0"/>
          <w:bCs w:val="0"/>
          <w:color w:val="auto"/>
          <w:sz w:val="24"/>
        </w:rPr>
        <w:t>磋商响应文件</w:t>
      </w:r>
      <w:r>
        <w:rPr>
          <w:rFonts w:ascii="宋体" w:eastAsia="宋体"/>
          <w:b w:val="0"/>
          <w:bCs w:val="0"/>
          <w:color w:val="auto"/>
          <w:sz w:val="24"/>
        </w:rPr>
        <w:t>中以及所有</w:t>
      </w:r>
      <w:r>
        <w:rPr>
          <w:rFonts w:hint="eastAsia" w:ascii="宋体" w:eastAsia="宋体"/>
          <w:b w:val="0"/>
          <w:bCs w:val="0"/>
          <w:color w:val="auto"/>
          <w:sz w:val="24"/>
        </w:rPr>
        <w:t>磋商供应商</w:t>
      </w:r>
      <w:r>
        <w:rPr>
          <w:rFonts w:ascii="宋体" w:eastAsia="宋体"/>
          <w:b w:val="0"/>
          <w:bCs w:val="0"/>
          <w:color w:val="auto"/>
          <w:sz w:val="24"/>
        </w:rPr>
        <w:t>与</w:t>
      </w:r>
      <w:r>
        <w:rPr>
          <w:rFonts w:hint="eastAsia" w:ascii="宋体" w:eastAsia="宋体"/>
          <w:b w:val="0"/>
          <w:bCs w:val="0"/>
          <w:color w:val="auto"/>
          <w:sz w:val="24"/>
        </w:rPr>
        <w:t>采购</w:t>
      </w:r>
      <w:r>
        <w:rPr>
          <w:rFonts w:ascii="宋体" w:eastAsia="宋体"/>
          <w:b w:val="0"/>
          <w:bCs w:val="0"/>
          <w:color w:val="auto"/>
          <w:sz w:val="24"/>
        </w:rPr>
        <w:t>人和招标代理机构往来文件中的计量单位均应采用中华人民共和国法定计量单位。</w:t>
      </w:r>
    </w:p>
    <w:p>
      <w:pPr>
        <w:pStyle w:val="15"/>
        <w:spacing w:line="360" w:lineRule="auto"/>
        <w:ind w:firstLine="0"/>
        <w:rPr>
          <w:rFonts w:ascii="宋体" w:hAnsi="宋体" w:eastAsia="宋体"/>
          <w:b w:val="0"/>
          <w:bCs w:val="0"/>
          <w:color w:val="auto"/>
          <w:spacing w:val="6"/>
          <w:kern w:val="15"/>
          <w:szCs w:val="28"/>
        </w:rPr>
      </w:pPr>
      <w:r>
        <w:rPr>
          <w:rFonts w:hint="eastAsia" w:ascii="宋体" w:hAnsi="宋体" w:eastAsia="宋体" w:cs="Arial"/>
          <w:color w:val="auto"/>
          <w:kern w:val="0"/>
          <w:sz w:val="24"/>
        </w:rPr>
        <w:t>11.</w:t>
      </w:r>
      <w:r>
        <w:rPr>
          <w:rFonts w:hint="eastAsia" w:ascii="宋体" w:eastAsia="宋体"/>
          <w:color w:val="auto"/>
          <w:sz w:val="24"/>
        </w:rPr>
        <w:t>磋商</w:t>
      </w:r>
      <w:r>
        <w:rPr>
          <w:rFonts w:hint="eastAsia" w:ascii="宋体" w:hAnsi="宋体" w:eastAsia="宋体" w:cs="Arial"/>
          <w:color w:val="auto"/>
          <w:kern w:val="0"/>
          <w:sz w:val="24"/>
        </w:rPr>
        <w:t>报价编制依据</w:t>
      </w:r>
    </w:p>
    <w:p>
      <w:pPr>
        <w:pStyle w:val="27"/>
        <w:tabs>
          <w:tab w:val="left" w:pos="1134"/>
          <w:tab w:val="left" w:pos="1155"/>
          <w:tab w:val="clear" w:pos="425"/>
        </w:tabs>
        <w:spacing w:before="0" w:after="0" w:line="360" w:lineRule="auto"/>
        <w:ind w:left="0" w:firstLine="360" w:firstLineChars="150"/>
        <w:rPr>
          <w:rFonts w:ascii="宋体" w:eastAsia="宋体"/>
          <w:b w:val="0"/>
          <w:bCs w:val="0"/>
          <w:color w:val="auto"/>
          <w:sz w:val="24"/>
        </w:rPr>
      </w:pPr>
      <w:r>
        <w:rPr>
          <w:rFonts w:hint="eastAsia" w:ascii="宋体" w:eastAsia="宋体"/>
          <w:b w:val="0"/>
          <w:bCs w:val="0"/>
          <w:color w:val="auto"/>
          <w:sz w:val="24"/>
        </w:rPr>
        <w:t>11.1竞争性磋商文件、磋商文件补充通知；</w:t>
      </w:r>
    </w:p>
    <w:p>
      <w:pPr>
        <w:pStyle w:val="27"/>
        <w:tabs>
          <w:tab w:val="left" w:pos="1134"/>
          <w:tab w:val="left" w:pos="1155"/>
          <w:tab w:val="clear" w:pos="425"/>
        </w:tabs>
        <w:spacing w:before="0" w:after="0" w:line="360" w:lineRule="auto"/>
        <w:ind w:left="0" w:firstLine="0"/>
        <w:rPr>
          <w:rFonts w:ascii="宋体" w:eastAsia="宋体"/>
          <w:b w:val="0"/>
          <w:bCs w:val="0"/>
          <w:color w:val="auto"/>
          <w:sz w:val="24"/>
        </w:rPr>
      </w:pPr>
      <w:r>
        <w:rPr>
          <w:rFonts w:hint="eastAsia" w:ascii="宋体" w:eastAsia="宋体"/>
          <w:color w:val="auto"/>
          <w:sz w:val="24"/>
        </w:rPr>
        <w:t>12.磋商响应文件的组成</w:t>
      </w:r>
    </w:p>
    <w:p>
      <w:pPr>
        <w:pStyle w:val="9"/>
        <w:adjustRightInd w:val="0"/>
        <w:snapToGrid w:val="0"/>
        <w:spacing w:line="360" w:lineRule="auto"/>
        <w:ind w:firstLine="480" w:firstLineChars="200"/>
        <w:rPr>
          <w:rFonts w:hAnsi="宋体" w:eastAsia="宋体" w:cs="Arial"/>
          <w:color w:val="auto"/>
          <w:kern w:val="0"/>
          <w:sz w:val="24"/>
          <w:szCs w:val="32"/>
        </w:rPr>
      </w:pPr>
      <w:r>
        <w:rPr>
          <w:rFonts w:hint="eastAsia" w:hAnsi="宋体" w:eastAsia="宋体" w:cs="Arial"/>
          <w:color w:val="auto"/>
          <w:kern w:val="0"/>
          <w:sz w:val="24"/>
          <w:szCs w:val="32"/>
        </w:rPr>
        <w:t>磋商供应商编制的磋商响应文件具体见第六章磋商响应文件格式的具体内容。</w:t>
      </w:r>
    </w:p>
    <w:p>
      <w:pPr>
        <w:spacing w:line="360" w:lineRule="auto"/>
        <w:rPr>
          <w:rFonts w:ascii="宋体" w:hAnsi="宋体" w:eastAsia="宋体"/>
          <w:b/>
          <w:bCs/>
          <w:color w:val="auto"/>
          <w:sz w:val="24"/>
        </w:rPr>
      </w:pPr>
      <w:r>
        <w:rPr>
          <w:rFonts w:hint="eastAsia" w:ascii="宋体" w:hAnsi="宋体" w:eastAsia="宋体"/>
          <w:b/>
          <w:bCs/>
          <w:color w:val="auto"/>
          <w:sz w:val="24"/>
        </w:rPr>
        <w:t>13.磋商响应文件格式</w:t>
      </w:r>
    </w:p>
    <w:p>
      <w:pPr>
        <w:adjustRightInd w:val="0"/>
        <w:snapToGrid w:val="0"/>
        <w:spacing w:line="360" w:lineRule="auto"/>
        <w:ind w:firstLine="480"/>
        <w:rPr>
          <w:rFonts w:ascii="宋体" w:hAnsi="宋体" w:eastAsia="宋体"/>
          <w:color w:val="auto"/>
          <w:sz w:val="24"/>
        </w:rPr>
      </w:pPr>
      <w:r>
        <w:rPr>
          <w:rFonts w:hint="eastAsia" w:ascii="宋体" w:hAnsi="宋体" w:eastAsia="宋体"/>
          <w:color w:val="auto"/>
          <w:sz w:val="24"/>
        </w:rPr>
        <w:t>依据磋商文件相关要求（可扩展）。</w:t>
      </w:r>
    </w:p>
    <w:p>
      <w:pPr>
        <w:adjustRightInd w:val="0"/>
        <w:snapToGrid w:val="0"/>
        <w:spacing w:line="360" w:lineRule="auto"/>
        <w:rPr>
          <w:rFonts w:ascii="宋体" w:hAnsi="宋体" w:eastAsia="宋体"/>
          <w:b/>
          <w:bCs/>
          <w:color w:val="auto"/>
          <w:sz w:val="24"/>
        </w:rPr>
      </w:pPr>
      <w:r>
        <w:rPr>
          <w:rFonts w:hint="eastAsia" w:ascii="宋体" w:hAnsi="宋体" w:eastAsia="宋体"/>
          <w:b/>
          <w:bCs/>
          <w:color w:val="auto"/>
          <w:sz w:val="24"/>
        </w:rPr>
        <w:t>14.磋商报价</w:t>
      </w:r>
    </w:p>
    <w:p>
      <w:pPr>
        <w:spacing w:line="360" w:lineRule="auto"/>
        <w:ind w:firstLine="410" w:firstLineChars="171"/>
        <w:rPr>
          <w:rFonts w:ascii="宋体" w:hAnsi="宋体" w:eastAsia="宋体" w:cs="Arial"/>
          <w:color w:val="auto"/>
          <w:kern w:val="0"/>
          <w:sz w:val="24"/>
          <w:szCs w:val="32"/>
        </w:rPr>
      </w:pPr>
      <w:r>
        <w:rPr>
          <w:rFonts w:hint="eastAsia" w:ascii="宋体" w:hAnsi="宋体" w:eastAsia="宋体" w:cs="Arial"/>
          <w:color w:val="auto"/>
          <w:kern w:val="0"/>
          <w:sz w:val="24"/>
          <w:szCs w:val="32"/>
        </w:rPr>
        <w:t>14.1 磋商报价是磋商供应商按照磋商文件的要求完成项目服务全部费用。</w:t>
      </w:r>
    </w:p>
    <w:p>
      <w:pPr>
        <w:spacing w:line="360" w:lineRule="auto"/>
        <w:ind w:firstLine="410" w:firstLineChars="171"/>
        <w:rPr>
          <w:rFonts w:ascii="宋体" w:hAnsi="宋体" w:eastAsia="宋体" w:cs="Arial"/>
          <w:color w:val="auto"/>
          <w:kern w:val="0"/>
          <w:sz w:val="24"/>
          <w:szCs w:val="32"/>
        </w:rPr>
      </w:pPr>
      <w:r>
        <w:rPr>
          <w:rFonts w:hint="eastAsia" w:ascii="宋体" w:hAnsi="宋体" w:eastAsia="宋体" w:cs="Arial"/>
          <w:color w:val="auto"/>
          <w:kern w:val="0"/>
          <w:sz w:val="24"/>
          <w:szCs w:val="32"/>
        </w:rPr>
        <w:t>14.2 供应商应按“磋商响应文件格式”中的“报价表”的要求结合自身因素，进行磋商报价，并完整地填写相应表格。磋商供应商未填报的部分，在项目实施时采购人将不予支付，并认为该部分费用已包含在报价中。</w:t>
      </w:r>
    </w:p>
    <w:p>
      <w:pPr>
        <w:spacing w:line="360" w:lineRule="auto"/>
        <w:ind w:firstLine="410" w:firstLineChars="171"/>
        <w:rPr>
          <w:rFonts w:ascii="宋体" w:hAnsi="宋体" w:eastAsia="宋体" w:cs="Arial"/>
          <w:color w:val="auto"/>
          <w:kern w:val="0"/>
          <w:sz w:val="24"/>
          <w:szCs w:val="32"/>
        </w:rPr>
      </w:pPr>
      <w:r>
        <w:rPr>
          <w:rFonts w:hint="eastAsia" w:ascii="宋体" w:hAnsi="宋体" w:eastAsia="宋体" w:cs="Arial"/>
          <w:color w:val="auto"/>
          <w:kern w:val="0"/>
          <w:sz w:val="24"/>
          <w:szCs w:val="32"/>
        </w:rPr>
        <w:t>14.3 采购人可以设置最高限价并在磋商须知前附表中明确。</w:t>
      </w:r>
    </w:p>
    <w:p>
      <w:pPr>
        <w:spacing w:line="360" w:lineRule="auto"/>
        <w:ind w:firstLine="410" w:firstLineChars="171"/>
        <w:rPr>
          <w:rFonts w:ascii="宋体" w:hAnsi="宋体" w:eastAsia="宋体" w:cs="Arial"/>
          <w:color w:val="auto"/>
          <w:kern w:val="0"/>
          <w:sz w:val="24"/>
          <w:szCs w:val="32"/>
        </w:rPr>
      </w:pPr>
      <w:r>
        <w:rPr>
          <w:rFonts w:hint="eastAsia" w:ascii="宋体" w:hAnsi="宋体" w:eastAsia="宋体" w:cs="Arial"/>
          <w:color w:val="auto"/>
          <w:kern w:val="0"/>
          <w:sz w:val="24"/>
          <w:szCs w:val="32"/>
        </w:rPr>
        <w:t>14.4磋商供应商的磋商报价（指磋商函中的大写报价或算术错误修正后的磋商报价）不得高于采购人公布的最高限价或低于其成本，否则，其投标将被否决。</w:t>
      </w:r>
    </w:p>
    <w:p>
      <w:pPr>
        <w:spacing w:line="360" w:lineRule="auto"/>
        <w:ind w:firstLine="410" w:firstLineChars="171"/>
        <w:rPr>
          <w:rFonts w:ascii="宋体" w:hAnsi="宋体" w:eastAsia="宋体" w:cs="Arial"/>
          <w:color w:val="auto"/>
          <w:kern w:val="0"/>
          <w:sz w:val="24"/>
          <w:szCs w:val="32"/>
        </w:rPr>
      </w:pPr>
      <w:r>
        <w:rPr>
          <w:rFonts w:hint="eastAsia" w:ascii="宋体" w:hAnsi="宋体" w:eastAsia="宋体" w:cs="Arial"/>
          <w:color w:val="auto"/>
          <w:kern w:val="0"/>
          <w:sz w:val="24"/>
          <w:szCs w:val="32"/>
        </w:rPr>
        <w:t>14.5 只允许有一个磋商报价，任何有选择性的磋商报价，其投标将被否决。</w:t>
      </w:r>
    </w:p>
    <w:p>
      <w:pPr>
        <w:spacing w:line="360" w:lineRule="auto"/>
        <w:ind w:firstLine="410" w:firstLineChars="171"/>
        <w:rPr>
          <w:rFonts w:ascii="宋体" w:hAnsi="宋体" w:eastAsia="宋体" w:cs="Arial"/>
          <w:color w:val="auto"/>
          <w:kern w:val="0"/>
          <w:sz w:val="24"/>
          <w:szCs w:val="32"/>
        </w:rPr>
      </w:pPr>
      <w:r>
        <w:rPr>
          <w:rFonts w:hint="eastAsia" w:ascii="宋体" w:hAnsi="宋体" w:eastAsia="宋体" w:cs="Arial"/>
          <w:color w:val="auto"/>
          <w:kern w:val="0"/>
          <w:sz w:val="24"/>
          <w:szCs w:val="32"/>
        </w:rPr>
        <w:t>14.6 磋商供应商在投标截止时间前修改“磋商函”中的报价，应同时修改各计算表中的相应报价，此修改须符合本章有关要求。</w:t>
      </w:r>
    </w:p>
    <w:p>
      <w:pPr>
        <w:adjustRightInd w:val="0"/>
        <w:snapToGrid w:val="0"/>
        <w:spacing w:line="360" w:lineRule="auto"/>
        <w:rPr>
          <w:rFonts w:ascii="宋体" w:hAnsi="宋体" w:eastAsia="宋体"/>
          <w:b/>
          <w:bCs/>
          <w:color w:val="auto"/>
          <w:sz w:val="24"/>
        </w:rPr>
      </w:pPr>
      <w:r>
        <w:rPr>
          <w:rFonts w:hint="eastAsia" w:ascii="宋体" w:hAnsi="宋体" w:eastAsia="宋体"/>
          <w:b/>
          <w:bCs/>
          <w:color w:val="auto"/>
          <w:sz w:val="24"/>
        </w:rPr>
        <w:t>15.磋商货币</w:t>
      </w:r>
    </w:p>
    <w:p>
      <w:pPr>
        <w:adjustRightInd w:val="0"/>
        <w:snapToGrid w:val="0"/>
        <w:spacing w:line="360" w:lineRule="auto"/>
        <w:rPr>
          <w:rFonts w:ascii="宋体" w:hAnsi="宋体" w:eastAsia="宋体"/>
          <w:color w:val="auto"/>
          <w:sz w:val="24"/>
        </w:rPr>
      </w:pPr>
      <w:r>
        <w:rPr>
          <w:rFonts w:hint="eastAsia" w:ascii="宋体" w:hAnsi="宋体" w:eastAsia="宋体"/>
          <w:color w:val="auto"/>
          <w:sz w:val="24"/>
        </w:rPr>
        <w:t xml:space="preserve">   人民币。</w:t>
      </w:r>
    </w:p>
    <w:p>
      <w:pPr>
        <w:adjustRightInd w:val="0"/>
        <w:snapToGrid w:val="0"/>
        <w:spacing w:line="360" w:lineRule="auto"/>
        <w:rPr>
          <w:rFonts w:ascii="宋体" w:hAnsi="宋体" w:eastAsia="宋体" w:cs="Arial"/>
          <w:color w:val="auto"/>
          <w:kern w:val="0"/>
          <w:sz w:val="24"/>
          <w:szCs w:val="32"/>
        </w:rPr>
      </w:pPr>
      <w:r>
        <w:rPr>
          <w:rFonts w:hint="eastAsia" w:ascii="宋体" w:hAnsi="宋体" w:eastAsia="宋体"/>
          <w:b/>
          <w:bCs/>
          <w:color w:val="auto"/>
          <w:sz w:val="24"/>
        </w:rPr>
        <w:t>16.磋商响应文件的份数和签署</w:t>
      </w:r>
    </w:p>
    <w:p>
      <w:pPr>
        <w:adjustRightInd w:val="0"/>
        <w:snapToGrid w:val="0"/>
        <w:spacing w:line="360" w:lineRule="auto"/>
        <w:ind w:firstLine="482" w:firstLineChars="200"/>
        <w:rPr>
          <w:rFonts w:ascii="新宋体" w:hAnsi="新宋体" w:eastAsia="新宋体"/>
          <w:b/>
          <w:color w:val="auto"/>
          <w:sz w:val="24"/>
        </w:rPr>
      </w:pPr>
      <w:r>
        <w:rPr>
          <w:rFonts w:hint="eastAsia" w:ascii="新宋体" w:hAnsi="新宋体" w:eastAsia="新宋体"/>
          <w:b/>
          <w:color w:val="auto"/>
          <w:sz w:val="24"/>
        </w:rPr>
        <w:t>16.1磋商供应商应按前附表的规定提交磋商响应文件，</w:t>
      </w:r>
      <w:r>
        <w:rPr>
          <w:rFonts w:hint="eastAsia" w:ascii="宋体" w:hAnsi="宋体" w:eastAsia="宋体" w:cs="Times New Roman"/>
          <w:b/>
          <w:color w:val="auto"/>
          <w:sz w:val="24"/>
          <w:lang w:val="zh-CN"/>
        </w:rPr>
        <w:t>中标人提供的纸质响应文件的副本可为正本的复印件,但应在副本封面加盖单位公章。每套响应文件应清楚地标明“正本”、“副本”。纸质投标文件应与电子投标文件一致。</w:t>
      </w:r>
    </w:p>
    <w:p>
      <w:pPr>
        <w:adjustRightInd w:val="0"/>
        <w:snapToGrid w:val="0"/>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16.2磋商响应文件应盖单位公章。要求法定代表人或其委托代理人签字或盖章的文件签字或盖章应齐全有效。由委托代理人签字或盖章的磋商响应文件中须同时提交磋商响应文件签署授权委托书和法人证明书。</w:t>
      </w:r>
    </w:p>
    <w:p>
      <w:pPr>
        <w:adjustRightInd w:val="0"/>
        <w:snapToGrid w:val="0"/>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16.3全套磋商响应文件应无涂改或行间插字和增删。如有修改，修改处应由磋商供应商法定代表人或委托人签字或加盖单位公章。</w:t>
      </w:r>
    </w:p>
    <w:p>
      <w:pPr>
        <w:adjustRightInd w:val="0"/>
        <w:snapToGrid w:val="0"/>
        <w:spacing w:line="360" w:lineRule="auto"/>
        <w:ind w:firstLine="480"/>
        <w:jc w:val="center"/>
        <w:rPr>
          <w:rFonts w:ascii="新宋体" w:hAnsi="新宋体" w:eastAsia="新宋体"/>
          <w:color w:val="auto"/>
          <w:sz w:val="24"/>
        </w:rPr>
      </w:pPr>
      <w:r>
        <w:rPr>
          <w:rFonts w:hint="eastAsia" w:ascii="新宋体" w:hAnsi="新宋体" w:eastAsia="新宋体"/>
          <w:color w:val="auto"/>
          <w:sz w:val="24"/>
        </w:rPr>
        <w:t>16.4 磋商文件中要求加盖公章及签字（签章）之处，应按要求提供加盖公章及签</w:t>
      </w:r>
    </w:p>
    <w:p>
      <w:pPr>
        <w:adjustRightInd w:val="0"/>
        <w:snapToGrid w:val="0"/>
        <w:spacing w:line="360" w:lineRule="auto"/>
        <w:rPr>
          <w:rFonts w:ascii="新宋体" w:hAnsi="新宋体" w:eastAsia="新宋体"/>
          <w:color w:val="auto"/>
          <w:sz w:val="24"/>
        </w:rPr>
      </w:pPr>
      <w:r>
        <w:rPr>
          <w:rFonts w:hint="eastAsia" w:ascii="新宋体" w:hAnsi="新宋体" w:eastAsia="新宋体"/>
          <w:color w:val="auto"/>
          <w:sz w:val="24"/>
        </w:rPr>
        <w:t>字（签章），否则按照无效投标处理。</w:t>
      </w:r>
    </w:p>
    <w:p>
      <w:pPr>
        <w:adjustRightInd w:val="0"/>
        <w:snapToGrid w:val="0"/>
        <w:spacing w:line="360" w:lineRule="auto"/>
        <w:jc w:val="center"/>
        <w:rPr>
          <w:rFonts w:ascii="宋体" w:hAnsi="宋体" w:eastAsia="宋体"/>
          <w:b/>
          <w:bCs/>
          <w:color w:val="auto"/>
          <w:sz w:val="24"/>
        </w:rPr>
      </w:pPr>
      <w:r>
        <w:rPr>
          <w:rFonts w:hint="eastAsia" w:ascii="宋体" w:hAnsi="宋体" w:eastAsia="宋体"/>
          <w:b/>
          <w:bCs/>
          <w:color w:val="auto"/>
          <w:sz w:val="24"/>
        </w:rPr>
        <w:t>(四) 磋商响应文件的提交</w:t>
      </w:r>
    </w:p>
    <w:p>
      <w:pPr>
        <w:adjustRightInd w:val="0"/>
        <w:snapToGrid w:val="0"/>
        <w:spacing w:line="360" w:lineRule="auto"/>
        <w:rPr>
          <w:rFonts w:ascii="宋体" w:hAnsi="宋体" w:eastAsia="宋体"/>
          <w:b/>
          <w:bCs/>
          <w:color w:val="auto"/>
          <w:sz w:val="24"/>
        </w:rPr>
      </w:pPr>
      <w:r>
        <w:rPr>
          <w:rFonts w:hint="eastAsia" w:ascii="宋体" w:hAnsi="宋体" w:eastAsia="宋体"/>
          <w:b/>
          <w:bCs/>
          <w:color w:val="auto"/>
          <w:sz w:val="24"/>
        </w:rPr>
        <w:t>17.</w:t>
      </w:r>
      <w:r>
        <w:rPr>
          <w:rFonts w:hint="eastAsia" w:ascii="宋体" w:hAnsi="宋体" w:eastAsia="宋体" w:cs="宋体"/>
          <w:b/>
          <w:color w:val="auto"/>
          <w:kern w:val="0"/>
          <w:sz w:val="24"/>
        </w:rPr>
        <w:t xml:space="preserve"> 磋商响应文件的密封和标记</w:t>
      </w:r>
    </w:p>
    <w:p>
      <w:pPr>
        <w:adjustRightInd w:val="0"/>
        <w:snapToGrid w:val="0"/>
        <w:spacing w:line="360" w:lineRule="auto"/>
        <w:ind w:firstLine="480" w:firstLineChars="200"/>
        <w:rPr>
          <w:rFonts w:ascii="宋体" w:hAnsi="宋体" w:eastAsia="宋体" w:cs="宋体"/>
          <w:color w:val="auto"/>
          <w:kern w:val="0"/>
          <w:sz w:val="24"/>
        </w:rPr>
      </w:pPr>
      <w:r>
        <w:rPr>
          <w:rFonts w:hint="eastAsia" w:ascii="宋体" w:hAnsi="宋体" w:eastAsia="宋体" w:cs="宋体"/>
          <w:color w:val="auto"/>
          <w:kern w:val="0"/>
          <w:sz w:val="24"/>
        </w:rPr>
        <w:t>17.1磋商单位应将磋商响应文件“正本”和“副本”装在密封袋中。为了方便开标和唱标，磋商单位应将《磋商报价一览表》单独密封于一小信封内，并在信封上标明“磋商报价一览表”字样，在投标截止时间前单独递交。</w:t>
      </w:r>
    </w:p>
    <w:p>
      <w:pPr>
        <w:autoSpaceDE w:val="0"/>
        <w:autoSpaceDN w:val="0"/>
        <w:adjustRightInd w:val="0"/>
        <w:snapToGrid w:val="0"/>
        <w:spacing w:line="400" w:lineRule="exact"/>
        <w:ind w:firstLine="480" w:firstLineChars="200"/>
        <w:rPr>
          <w:rFonts w:ascii="宋体" w:hAnsi="宋体" w:eastAsia="宋体" w:cs="宋体"/>
          <w:color w:val="auto"/>
          <w:kern w:val="0"/>
          <w:sz w:val="24"/>
        </w:rPr>
      </w:pPr>
      <w:r>
        <w:rPr>
          <w:rFonts w:hint="eastAsia" w:ascii="宋体" w:hAnsi="宋体" w:eastAsia="宋体" w:cs="宋体"/>
          <w:color w:val="auto"/>
          <w:kern w:val="0"/>
          <w:sz w:val="24"/>
        </w:rPr>
        <w:t>17.2 密封袋应注明项目名称、编号和有“在开标之前不得启封”的字样，</w:t>
      </w:r>
      <w:r>
        <w:rPr>
          <w:rFonts w:hint="eastAsia" w:ascii="宋体" w:hAnsi="宋体" w:eastAsia="宋体" w:cs="宋体"/>
          <w:color w:val="auto"/>
          <w:sz w:val="24"/>
        </w:rPr>
        <w:t>封口处加盖磋商单位印章及法定代表人印章（或签字）或委托代理人印章（或签字）</w:t>
      </w:r>
      <w:r>
        <w:rPr>
          <w:rFonts w:hint="eastAsia" w:ascii="宋体" w:hAnsi="宋体" w:eastAsia="宋体" w:cs="宋体"/>
          <w:color w:val="auto"/>
          <w:kern w:val="0"/>
          <w:sz w:val="24"/>
        </w:rPr>
        <w:t>。</w:t>
      </w:r>
    </w:p>
    <w:p>
      <w:pPr>
        <w:pStyle w:val="9"/>
        <w:adjustRightInd w:val="0"/>
        <w:snapToGrid w:val="0"/>
        <w:spacing w:line="400" w:lineRule="exact"/>
        <w:ind w:firstLine="480" w:firstLineChars="200"/>
        <w:rPr>
          <w:rFonts w:hAnsi="宋体" w:eastAsia="宋体" w:cs="宋体"/>
          <w:color w:val="auto"/>
          <w:kern w:val="0"/>
          <w:sz w:val="24"/>
        </w:rPr>
      </w:pPr>
      <w:r>
        <w:rPr>
          <w:rFonts w:hint="eastAsia" w:hAnsi="宋体" w:eastAsia="宋体" w:cs="宋体"/>
          <w:color w:val="auto"/>
          <w:kern w:val="0"/>
          <w:sz w:val="24"/>
          <w:szCs w:val="24"/>
        </w:rPr>
        <w:t>17.3 如果磋商单位未按要求加写密封和标记，</w:t>
      </w:r>
      <w:r>
        <w:rPr>
          <w:rFonts w:hint="eastAsia" w:hAnsi="宋体" w:eastAsia="宋体" w:cs="宋体"/>
          <w:color w:val="auto"/>
          <w:sz w:val="24"/>
          <w:szCs w:val="24"/>
        </w:rPr>
        <w:t>采购人</w:t>
      </w:r>
      <w:r>
        <w:rPr>
          <w:rFonts w:hint="eastAsia" w:hAnsi="宋体" w:eastAsia="宋体" w:cs="宋体"/>
          <w:color w:val="auto"/>
          <w:kern w:val="0"/>
          <w:sz w:val="24"/>
          <w:szCs w:val="24"/>
        </w:rPr>
        <w:t>对误投或提前启封概不负责。</w:t>
      </w:r>
    </w:p>
    <w:p>
      <w:pPr>
        <w:adjustRightInd w:val="0"/>
        <w:snapToGrid w:val="0"/>
        <w:spacing w:line="360" w:lineRule="auto"/>
        <w:rPr>
          <w:rFonts w:ascii="宋体" w:hAnsi="宋体" w:eastAsia="宋体"/>
          <w:color w:val="auto"/>
          <w:sz w:val="24"/>
        </w:rPr>
      </w:pPr>
      <w:r>
        <w:rPr>
          <w:rFonts w:hint="eastAsia" w:ascii="宋体" w:hAnsi="宋体" w:eastAsia="宋体"/>
          <w:b/>
          <w:bCs/>
          <w:color w:val="auto"/>
          <w:sz w:val="24"/>
        </w:rPr>
        <w:t>18.磋商响应文件提交的截止时间</w:t>
      </w:r>
    </w:p>
    <w:p>
      <w:pPr>
        <w:adjustRightInd w:val="0"/>
        <w:snapToGrid w:val="0"/>
        <w:spacing w:line="360" w:lineRule="auto"/>
        <w:ind w:firstLine="480"/>
        <w:rPr>
          <w:rFonts w:ascii="宋体" w:hAnsi="宋体" w:eastAsia="宋体"/>
          <w:color w:val="auto"/>
          <w:sz w:val="24"/>
        </w:rPr>
      </w:pPr>
      <w:r>
        <w:rPr>
          <w:rFonts w:hint="eastAsia" w:ascii="宋体" w:hAnsi="宋体" w:eastAsia="宋体"/>
          <w:color w:val="auto"/>
          <w:sz w:val="24"/>
        </w:rPr>
        <w:t>18.1磋商响应文件的截止时间按磋商文件的规定。</w:t>
      </w:r>
    </w:p>
    <w:p>
      <w:pPr>
        <w:adjustRightInd w:val="0"/>
        <w:snapToGrid w:val="0"/>
        <w:spacing w:line="360" w:lineRule="auto"/>
        <w:ind w:firstLine="480"/>
        <w:rPr>
          <w:rFonts w:ascii="宋体" w:hAnsi="宋体" w:eastAsia="宋体"/>
          <w:color w:val="auto"/>
          <w:sz w:val="24"/>
        </w:rPr>
      </w:pPr>
      <w:r>
        <w:rPr>
          <w:rFonts w:hint="eastAsia" w:ascii="宋体" w:hAnsi="宋体" w:eastAsia="宋体"/>
          <w:color w:val="auto"/>
          <w:sz w:val="24"/>
        </w:rPr>
        <w:t>18.2采购人可按磋商文件的规定以修改补充通知的方式，酌情延长提交磋商响应文件的截止时间。</w:t>
      </w:r>
    </w:p>
    <w:p>
      <w:pPr>
        <w:adjustRightInd w:val="0"/>
        <w:snapToGrid w:val="0"/>
        <w:spacing w:line="360" w:lineRule="auto"/>
        <w:rPr>
          <w:rFonts w:ascii="宋体" w:hAnsi="宋体" w:eastAsia="宋体"/>
          <w:b/>
          <w:bCs/>
          <w:color w:val="auto"/>
          <w:sz w:val="24"/>
        </w:rPr>
      </w:pPr>
      <w:r>
        <w:rPr>
          <w:rFonts w:hint="eastAsia" w:ascii="宋体" w:hAnsi="宋体" w:eastAsia="宋体"/>
          <w:b/>
          <w:bCs/>
          <w:color w:val="auto"/>
          <w:sz w:val="24"/>
        </w:rPr>
        <w:t>19.迟交的磋商响应文件</w:t>
      </w:r>
    </w:p>
    <w:p>
      <w:pPr>
        <w:adjustRightInd w:val="0"/>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rPr>
        <w:t>19.1采购人在</w:t>
      </w:r>
      <w:r>
        <w:rPr>
          <w:rFonts w:hint="eastAsia" w:ascii="宋体" w:hAnsi="宋体" w:eastAsia="宋体" w:cs="Arial"/>
          <w:color w:val="auto"/>
          <w:kern w:val="0"/>
          <w:sz w:val="24"/>
        </w:rPr>
        <w:t>磋商</w:t>
      </w:r>
      <w:r>
        <w:rPr>
          <w:rFonts w:hint="eastAsia" w:ascii="宋体" w:hAnsi="宋体" w:eastAsia="宋体"/>
          <w:color w:val="auto"/>
          <w:sz w:val="24"/>
        </w:rPr>
        <w:t>截止时间以后拒收供应商的磋商响应文件。</w:t>
      </w:r>
    </w:p>
    <w:p>
      <w:pPr>
        <w:adjustRightInd w:val="0"/>
        <w:snapToGrid w:val="0"/>
        <w:spacing w:line="360" w:lineRule="auto"/>
        <w:rPr>
          <w:rFonts w:ascii="宋体" w:hAnsi="宋体" w:eastAsia="宋体"/>
          <w:b/>
          <w:bCs/>
          <w:color w:val="auto"/>
          <w:sz w:val="24"/>
        </w:rPr>
      </w:pPr>
      <w:r>
        <w:rPr>
          <w:rFonts w:hint="eastAsia" w:ascii="宋体" w:hAnsi="宋体" w:eastAsia="宋体"/>
          <w:b/>
          <w:bCs/>
          <w:color w:val="auto"/>
          <w:sz w:val="24"/>
        </w:rPr>
        <w:t>20.磋商响应文件的补充、修改与撤回</w:t>
      </w:r>
    </w:p>
    <w:p>
      <w:pPr>
        <w:adjustRightInd w:val="0"/>
        <w:snapToGrid w:val="0"/>
        <w:spacing w:line="360" w:lineRule="auto"/>
        <w:ind w:firstLine="480" w:firstLineChars="200"/>
        <w:rPr>
          <w:rFonts w:ascii="宋体" w:hAnsi="宋体" w:eastAsia="宋体" w:cs="Arial"/>
          <w:color w:val="auto"/>
          <w:kern w:val="0"/>
          <w:sz w:val="24"/>
        </w:rPr>
      </w:pPr>
      <w:r>
        <w:rPr>
          <w:rFonts w:hint="eastAsia" w:ascii="宋体" w:hAnsi="宋体" w:eastAsia="宋体"/>
          <w:color w:val="auto"/>
          <w:sz w:val="24"/>
        </w:rPr>
        <w:t>20.1</w:t>
      </w:r>
      <w:r>
        <w:rPr>
          <w:rFonts w:hint="eastAsia" w:ascii="宋体" w:hAnsi="宋体" w:eastAsia="宋体" w:cs="Arial"/>
          <w:color w:val="auto"/>
          <w:kern w:val="0"/>
          <w:sz w:val="24"/>
        </w:rPr>
        <w:t>磋商供应商在提交磋商响应文件以后，在规定的磋商截止时间之前，可以以书面形式补充修改或撤回已提交的磋商响应文件，并以书面形式通知</w:t>
      </w:r>
      <w:r>
        <w:rPr>
          <w:rFonts w:hint="eastAsia" w:ascii="宋体" w:hAnsi="宋体" w:eastAsia="宋体"/>
          <w:color w:val="auto"/>
          <w:sz w:val="24"/>
        </w:rPr>
        <w:t>采购</w:t>
      </w:r>
      <w:r>
        <w:rPr>
          <w:rFonts w:hint="eastAsia" w:ascii="宋体" w:hAnsi="宋体" w:eastAsia="宋体" w:cs="Arial"/>
          <w:color w:val="auto"/>
          <w:kern w:val="0"/>
          <w:sz w:val="24"/>
        </w:rPr>
        <w:t>人。补充、修改的内容为磋商响应文件的组成部分。</w:t>
      </w:r>
    </w:p>
    <w:p>
      <w:pPr>
        <w:adjustRightInd w:val="0"/>
        <w:snapToGrid w:val="0"/>
        <w:spacing w:line="360" w:lineRule="auto"/>
        <w:rPr>
          <w:rFonts w:ascii="宋体" w:hAnsi="宋体" w:eastAsia="宋体" w:cs="Arial"/>
          <w:color w:val="auto"/>
          <w:kern w:val="0"/>
          <w:sz w:val="24"/>
        </w:rPr>
      </w:pPr>
      <w:r>
        <w:rPr>
          <w:rFonts w:hint="eastAsia" w:ascii="宋体" w:hAnsi="宋体" w:eastAsia="宋体" w:cs="Arial"/>
          <w:color w:val="auto"/>
          <w:kern w:val="0"/>
          <w:sz w:val="24"/>
        </w:rPr>
        <w:t xml:space="preserve">    20.2磋商供应商对磋商响应文件的补充、修改，应按本须知第17条有关规定密封、标记和提交，并在内外层磋商响应文件密封袋上清楚标明“补充、修改”或“撤回”字样。</w:t>
      </w:r>
    </w:p>
    <w:p>
      <w:pPr>
        <w:adjustRightInd w:val="0"/>
        <w:snapToGrid w:val="0"/>
        <w:spacing w:line="360" w:lineRule="auto"/>
        <w:rPr>
          <w:rFonts w:ascii="宋体" w:hAnsi="宋体" w:eastAsia="宋体" w:cs="Arial"/>
          <w:color w:val="auto"/>
          <w:kern w:val="0"/>
          <w:sz w:val="24"/>
        </w:rPr>
      </w:pPr>
      <w:r>
        <w:rPr>
          <w:rFonts w:hint="eastAsia" w:ascii="宋体" w:hAnsi="宋体" w:eastAsia="宋体" w:cs="Arial"/>
          <w:color w:val="auto"/>
          <w:kern w:val="0"/>
          <w:sz w:val="24"/>
        </w:rPr>
        <w:t xml:space="preserve">    20.3在磋商截止时间之后，磋商供应商不得补充、修改磋商响应文件。</w:t>
      </w:r>
    </w:p>
    <w:p>
      <w:pPr>
        <w:adjustRightInd w:val="0"/>
        <w:snapToGrid w:val="0"/>
        <w:spacing w:line="360" w:lineRule="auto"/>
        <w:rPr>
          <w:rFonts w:ascii="宋体" w:hAnsi="宋体" w:eastAsia="宋体"/>
          <w:b/>
          <w:color w:val="auto"/>
          <w:sz w:val="24"/>
        </w:rPr>
      </w:pPr>
      <w:r>
        <w:rPr>
          <w:rFonts w:hint="eastAsia" w:ascii="宋体" w:hAnsi="宋体" w:eastAsia="宋体"/>
          <w:b/>
          <w:color w:val="auto"/>
          <w:sz w:val="24"/>
        </w:rPr>
        <w:t>21.磋商费用</w:t>
      </w:r>
    </w:p>
    <w:p>
      <w:pPr>
        <w:autoSpaceDE w:val="0"/>
        <w:autoSpaceDN w:val="0"/>
        <w:adjustRightInd w:val="0"/>
        <w:spacing w:line="360" w:lineRule="auto"/>
        <w:ind w:firstLine="480" w:firstLineChars="200"/>
        <w:rPr>
          <w:rFonts w:ascii="宋体" w:hAnsi="宋体" w:eastAsia="宋体" w:cs="宋体"/>
          <w:color w:val="auto"/>
          <w:sz w:val="24"/>
          <w:lang w:val="zh-CN"/>
        </w:rPr>
      </w:pPr>
      <w:r>
        <w:rPr>
          <w:rFonts w:hint="eastAsia" w:ascii="宋体" w:hAnsi="宋体" w:eastAsia="宋体"/>
          <w:color w:val="auto"/>
          <w:sz w:val="24"/>
        </w:rPr>
        <w:t>21.1</w:t>
      </w:r>
      <w:r>
        <w:rPr>
          <w:rFonts w:hint="eastAsia" w:ascii="宋体" w:hAnsi="宋体" w:eastAsia="宋体" w:cs="宋体"/>
          <w:color w:val="auto"/>
          <w:kern w:val="0"/>
          <w:sz w:val="24"/>
        </w:rPr>
        <w:t>竞争性磋商文件制作费0元</w:t>
      </w:r>
      <w:r>
        <w:rPr>
          <w:rFonts w:hint="eastAsia" w:ascii="宋体" w:hAnsi="宋体" w:eastAsia="宋体" w:cs="宋体"/>
          <w:color w:val="auto"/>
          <w:sz w:val="24"/>
          <w:lang w:val="zh-CN"/>
        </w:rPr>
        <w:t>。</w:t>
      </w:r>
    </w:p>
    <w:p>
      <w:pPr>
        <w:autoSpaceDE w:val="0"/>
        <w:autoSpaceDN w:val="0"/>
        <w:adjustRightInd w:val="0"/>
        <w:spacing w:line="360" w:lineRule="auto"/>
        <w:ind w:firstLine="480" w:firstLineChars="200"/>
        <w:rPr>
          <w:rFonts w:ascii="宋体" w:hAnsi="宋体" w:eastAsia="宋体" w:cs="宋体"/>
          <w:color w:val="auto"/>
          <w:sz w:val="24"/>
          <w:lang w:val="zh-CN"/>
        </w:rPr>
      </w:pPr>
      <w:r>
        <w:rPr>
          <w:rFonts w:hint="eastAsia" w:ascii="宋体" w:hAnsi="宋体" w:eastAsia="宋体" w:cs="宋体"/>
          <w:color w:val="auto"/>
          <w:sz w:val="24"/>
        </w:rPr>
        <w:t>21.1</w:t>
      </w:r>
      <w:r>
        <w:rPr>
          <w:rFonts w:hint="eastAsia" w:ascii="宋体" w:hAnsi="宋体" w:eastAsia="宋体" w:cs="宋体"/>
          <w:color w:val="auto"/>
          <w:sz w:val="24"/>
          <w:lang w:val="zh-CN"/>
        </w:rPr>
        <w:t>无论</w:t>
      </w:r>
      <w:r>
        <w:rPr>
          <w:rFonts w:hint="eastAsia" w:ascii="宋体" w:hAnsi="宋体" w:eastAsia="宋体" w:cs="宋体"/>
          <w:color w:val="auto"/>
          <w:sz w:val="24"/>
        </w:rPr>
        <w:t>磋商</w:t>
      </w:r>
      <w:r>
        <w:rPr>
          <w:rFonts w:hint="eastAsia" w:ascii="宋体" w:hAnsi="宋体" w:eastAsia="宋体" w:cs="宋体"/>
          <w:color w:val="auto"/>
          <w:sz w:val="24"/>
          <w:lang w:val="zh-CN"/>
        </w:rPr>
        <w:t>结果如何，</w:t>
      </w:r>
      <w:r>
        <w:rPr>
          <w:rFonts w:hint="eastAsia" w:ascii="宋体" w:hAnsi="宋体" w:eastAsia="宋体" w:cs="宋体"/>
          <w:color w:val="auto"/>
          <w:sz w:val="24"/>
        </w:rPr>
        <w:t>磋商供应商在磋商</w:t>
      </w:r>
      <w:r>
        <w:rPr>
          <w:rFonts w:hint="eastAsia" w:ascii="宋体" w:hAnsi="宋体" w:eastAsia="宋体" w:cs="宋体"/>
          <w:color w:val="auto"/>
          <w:sz w:val="24"/>
          <w:lang w:val="zh-CN"/>
        </w:rPr>
        <w:t>期间发生的一切费用、安全事故及其他损失均自行承担。</w:t>
      </w:r>
    </w:p>
    <w:p>
      <w:pPr>
        <w:spacing w:line="360" w:lineRule="auto"/>
        <w:jc w:val="center"/>
        <w:rPr>
          <w:rFonts w:ascii="宋体" w:hAnsi="宋体" w:eastAsia="宋体"/>
          <w:b/>
          <w:color w:val="auto"/>
          <w:sz w:val="24"/>
        </w:rPr>
      </w:pPr>
      <w:r>
        <w:rPr>
          <w:rFonts w:hint="eastAsia" w:ascii="宋体" w:hAnsi="宋体" w:eastAsia="宋体"/>
          <w:b/>
          <w:color w:val="auto"/>
          <w:sz w:val="24"/>
        </w:rPr>
        <w:t>（五） 磋商</w:t>
      </w:r>
    </w:p>
    <w:p>
      <w:pPr>
        <w:spacing w:line="360" w:lineRule="auto"/>
        <w:rPr>
          <w:rFonts w:ascii="宋体" w:hAnsi="宋体" w:eastAsia="宋体"/>
          <w:b/>
          <w:bCs/>
          <w:color w:val="auto"/>
          <w:sz w:val="24"/>
        </w:rPr>
      </w:pPr>
      <w:r>
        <w:rPr>
          <w:rFonts w:hint="eastAsia" w:ascii="宋体" w:hAnsi="宋体" w:eastAsia="宋体"/>
          <w:b/>
          <w:bCs/>
          <w:color w:val="auto"/>
          <w:sz w:val="24"/>
        </w:rPr>
        <w:t>22.磋商</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22.1采购人按磋商文件所规定的时间和地点进行磋商。</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22.2按磋商文件的规定为无效的磋商响应文件，不予送交评审。</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22.3.1依照有关法律法规组建的磋商小组负责项目评审。磋商小组由采购人、经济、技术等方面的3位专家组成。</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22.3.2磋商小组将按照磋商文件确定的磋商方法进行评审。磋商小组对磋商响应文件的评审分为磋商响应文件初审、澄清有关问题、比较与评价磋商响应文件、出具评审报告、确定成交候选人。</w:t>
      </w:r>
    </w:p>
    <w:p>
      <w:pPr>
        <w:spacing w:line="400" w:lineRule="exact"/>
        <w:ind w:firstLine="480" w:firstLineChars="200"/>
        <w:rPr>
          <w:rFonts w:ascii="宋体" w:hAnsi="宋体" w:eastAsia="宋体" w:cs="宋体"/>
          <w:color w:val="auto"/>
          <w:sz w:val="24"/>
          <w:u w:val="single"/>
        </w:rPr>
      </w:pPr>
      <w:r>
        <w:rPr>
          <w:rFonts w:hint="eastAsia" w:ascii="宋体" w:hAnsi="宋体" w:eastAsia="宋体" w:cs="宋体"/>
          <w:color w:val="auto"/>
          <w:sz w:val="24"/>
        </w:rPr>
        <w:t>22.3.3磋商小组将按照本磋商文件的相关要求对磋商响应文件进行评审并确定中标候选人。</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22.4磋商程序：</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22.4.1 由采购人主持；</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22.4.2由采购人或其推选的代表检查磋商响应文件的密封情况，也可以由监管机构检查并验证；</w:t>
      </w:r>
    </w:p>
    <w:p>
      <w:pPr>
        <w:tabs>
          <w:tab w:val="left" w:pos="726"/>
        </w:tabs>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22.4.3第一轮磋商</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磋商小组所有成员集中按已确定的磋商顺序与通过了资格性审查的供应商进行单一磋商（如有需要）。主要内容为：了解供应商参加项目的技术、服务及对项目策划构想等。</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第一轮磋商结束后，磋商小组可根据采购项目的特点、采购人的实际需求及与各供应商的磋商情况对磋商文件作出实质性变动并进行下一轮磋商，或直接进入最后书面报价。</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22.4.4磋商文件修正</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⑴、第一轮磋商结束后，各响应供应商退场等候，磋商小组进行合议。根据第一轮磋商掌握的情况，可以对磋商文件进行修改，确定采购内容的详细规格或具体要求，优化采购方案。</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⑵、采购人通知响应供应商集中，磋商小组强调调整后的采购要求，将磋商文件的修改结果以书面形式通知响应供应商，向响应供应商提供较充分的修正时间。</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⑶、响应供应商根据第一轮磋商情况和磋商文件修改书面通知，对原响应文件进行修正，并将修正文件签字(或盖章)后送交磋商小组。逾时不交的，视同放弃磋商。修正文件与响应文件同具法律效应。</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22.4.5第二轮磋商或多轮磋商</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参照第一轮磋商的程序，磋商小组按照变动后的磋商文件对供应商提交的修正文件或修正后的响应文件进行评审，并由磋商小组集中与单一供应商进行第二轮磋商。</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磋商小组可以根据需要与磋商供应商进行多轮磋商。</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22.4.6最后报价</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磋商文件中能够详细列明采购标的技术、服务要求的，在磋商结束后，所有实质性响应磋商文件及变动后磋商文件要求的供应商应按磋商小组的要求在规定时间内提交最后书面报价。</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最后书面报价是供应商响应文件的有效组成部分。</w:t>
      </w:r>
    </w:p>
    <w:p>
      <w:pPr>
        <w:spacing w:line="400" w:lineRule="exact"/>
        <w:ind w:firstLine="480" w:firstLineChars="200"/>
        <w:rPr>
          <w:rFonts w:ascii="宋体" w:hAnsi="宋体" w:eastAsia="宋体" w:cs="宋体"/>
          <w:color w:val="auto"/>
          <w:sz w:val="24"/>
        </w:rPr>
      </w:pPr>
      <w:r>
        <w:rPr>
          <w:rFonts w:hint="eastAsia" w:ascii="宋体" w:hAnsi="宋体" w:eastAsia="宋体" w:cs="宋体"/>
          <w:color w:val="auto"/>
          <w:sz w:val="24"/>
        </w:rPr>
        <w:t>报价包含提交符合合同约定的全部所需的全部费用（含所需全部费用及人工、利润、税金等），采购人不再支付其他任何费用。</w:t>
      </w:r>
    </w:p>
    <w:p>
      <w:pPr>
        <w:spacing w:line="400" w:lineRule="exact"/>
        <w:ind w:firstLine="480" w:firstLineChars="200"/>
        <w:rPr>
          <w:rFonts w:ascii="宋体" w:hAnsi="宋体" w:eastAsia="宋体"/>
          <w:color w:val="auto"/>
          <w:sz w:val="24"/>
        </w:rPr>
      </w:pPr>
      <w:r>
        <w:rPr>
          <w:rFonts w:hint="eastAsia" w:ascii="宋体" w:hAnsi="宋体" w:eastAsia="宋体" w:cs="宋体"/>
          <w:color w:val="auto"/>
          <w:sz w:val="24"/>
        </w:rPr>
        <w:t>22.4.7响应供应商的报价均超过了采购预算，采购人不能支付的，磋商活动终止；终止后，采购人需要采取调整采购预算或项目配置标准等，或采取其他采购方式的，应当在采购活动开始前获得采购监督管理部门批准。</w:t>
      </w:r>
    </w:p>
    <w:p>
      <w:pPr>
        <w:spacing w:line="360" w:lineRule="auto"/>
        <w:ind w:firstLine="482" w:firstLineChars="200"/>
        <w:rPr>
          <w:rFonts w:ascii="宋体" w:hAnsi="宋体" w:eastAsia="宋体"/>
          <w:b/>
          <w:bCs/>
          <w:color w:val="auto"/>
          <w:sz w:val="24"/>
        </w:rPr>
      </w:pPr>
      <w:r>
        <w:rPr>
          <w:rFonts w:hint="eastAsia" w:ascii="宋体" w:hAnsi="宋体" w:eastAsia="宋体"/>
          <w:b/>
          <w:bCs/>
          <w:color w:val="auto"/>
          <w:sz w:val="24"/>
        </w:rPr>
        <w:t>23.磋商过程的保密</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23.1 磋商小组成员名单在竞争性磋商结果公告前应当保密。</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23.2</w:t>
      </w:r>
      <w:r>
        <w:rPr>
          <w:rFonts w:hint="eastAsia" w:ascii="宋体" w:hAnsi="宋体" w:eastAsia="宋体" w:cs="宋体"/>
          <w:color w:val="auto"/>
          <w:sz w:val="24"/>
        </w:rPr>
        <w:t>成交供应商确定后，采购人不对未成交供应商就评标过程以及未能中标原因作任何解释。未成交供应商不得向磋商小组成员或其他有关人员索问评标过程的情况和材料。</w:t>
      </w:r>
    </w:p>
    <w:p>
      <w:pPr>
        <w:spacing w:line="360" w:lineRule="auto"/>
        <w:ind w:firstLine="482" w:firstLineChars="200"/>
        <w:rPr>
          <w:rFonts w:ascii="宋体" w:hAnsi="宋体" w:eastAsia="宋体"/>
          <w:b/>
          <w:bCs/>
          <w:color w:val="auto"/>
          <w:sz w:val="24"/>
        </w:rPr>
      </w:pPr>
      <w:r>
        <w:rPr>
          <w:rFonts w:hint="eastAsia" w:ascii="宋体" w:hAnsi="宋体" w:eastAsia="宋体"/>
          <w:b/>
          <w:bCs/>
          <w:color w:val="auto"/>
          <w:sz w:val="24"/>
        </w:rPr>
        <w:t>24.磋商响应文件的澄清</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24.1为有助于磋商响应文件的审查、评价和比较，必要时磋商小组可以要求磋商供应商对磋商响应文件含义不明确的内容做出必要的澄清和说明，磋商供应商应进行澄清说明，但不得超出磋商响应文件的范围或改变磋商响应文件的实质性内容。</w:t>
      </w:r>
    </w:p>
    <w:p>
      <w:pPr>
        <w:spacing w:line="360" w:lineRule="auto"/>
        <w:ind w:firstLine="482" w:firstLineChars="200"/>
        <w:rPr>
          <w:rFonts w:ascii="宋体" w:hAnsi="宋体" w:eastAsia="宋体"/>
          <w:b/>
          <w:bCs/>
          <w:color w:val="auto"/>
          <w:sz w:val="24"/>
        </w:rPr>
      </w:pPr>
      <w:r>
        <w:rPr>
          <w:rFonts w:hint="eastAsia" w:ascii="宋体" w:hAnsi="宋体" w:eastAsia="宋体"/>
          <w:b/>
          <w:bCs/>
          <w:color w:val="auto"/>
          <w:sz w:val="24"/>
        </w:rPr>
        <w:t>25.磋商响应文件初步评审</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25.1 初步评审包括对磋商响应文件的符合性评审、磋商响应文件计算错误的修正、磋商响应文件的评审、比较和否决。</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25.2符合性评审是指磋商小组审查每一磋商响应文件是否对磋商文件提出的所有实质性要求和条件作出响应，有无显著的差异或保留。</w:t>
      </w:r>
    </w:p>
    <w:p>
      <w:pPr>
        <w:spacing w:line="360" w:lineRule="auto"/>
        <w:ind w:firstLine="480" w:firstLineChars="200"/>
        <w:rPr>
          <w:rFonts w:ascii="宋体" w:hAnsi="宋体" w:eastAsia="宋体"/>
          <w:bCs/>
          <w:color w:val="auto"/>
          <w:sz w:val="24"/>
        </w:rPr>
      </w:pPr>
      <w:r>
        <w:rPr>
          <w:rFonts w:hint="eastAsia" w:ascii="宋体" w:hAnsi="宋体" w:eastAsia="宋体"/>
          <w:bCs/>
          <w:color w:val="auto"/>
          <w:sz w:val="24"/>
        </w:rPr>
        <w:t>25.3磋商响应文件有下列情形之一的视为符合性评审不合格：</w:t>
      </w:r>
    </w:p>
    <w:p>
      <w:pPr>
        <w:spacing w:line="360" w:lineRule="auto"/>
        <w:ind w:firstLine="436" w:firstLineChars="182"/>
        <w:rPr>
          <w:rFonts w:ascii="宋体" w:hAnsi="宋体" w:eastAsia="宋体"/>
          <w:color w:val="auto"/>
          <w:sz w:val="24"/>
        </w:rPr>
      </w:pPr>
      <w:r>
        <w:rPr>
          <w:rFonts w:hint="eastAsia" w:ascii="宋体" w:hAnsi="宋体" w:eastAsia="宋体"/>
          <w:color w:val="auto"/>
          <w:sz w:val="24"/>
        </w:rPr>
        <w:t>①供货期和投标有效期超过磋商文件规定的期限的；</w:t>
      </w:r>
    </w:p>
    <w:p>
      <w:pPr>
        <w:spacing w:line="360" w:lineRule="auto"/>
        <w:ind w:firstLine="436" w:firstLineChars="182"/>
        <w:rPr>
          <w:rFonts w:ascii="宋体" w:hAnsi="宋体" w:eastAsia="宋体"/>
          <w:color w:val="auto"/>
          <w:sz w:val="24"/>
        </w:rPr>
      </w:pPr>
      <w:r>
        <w:rPr>
          <w:rFonts w:hint="eastAsia" w:ascii="宋体" w:hAnsi="宋体" w:eastAsia="宋体"/>
          <w:color w:val="auto"/>
          <w:sz w:val="24"/>
        </w:rPr>
        <w:t>②响应文件签章不符合磋商文件要求；</w:t>
      </w:r>
    </w:p>
    <w:p>
      <w:pPr>
        <w:spacing w:line="360" w:lineRule="auto"/>
        <w:ind w:firstLine="436" w:firstLineChars="182"/>
        <w:rPr>
          <w:rFonts w:ascii="宋体" w:hAnsi="宋体" w:eastAsia="宋体"/>
          <w:color w:val="auto"/>
          <w:sz w:val="24"/>
        </w:rPr>
      </w:pPr>
      <w:r>
        <w:rPr>
          <w:rFonts w:hint="eastAsia" w:ascii="宋体" w:hAnsi="宋体" w:eastAsia="宋体"/>
          <w:color w:val="auto"/>
          <w:sz w:val="24"/>
        </w:rPr>
        <w:t>③磋商报价超过最高限价的；</w:t>
      </w:r>
    </w:p>
    <w:p>
      <w:pPr>
        <w:pStyle w:val="25"/>
        <w:ind w:firstLine="480"/>
        <w:rPr>
          <w:color w:val="auto"/>
        </w:rPr>
      </w:pPr>
      <w:r>
        <w:rPr>
          <w:rFonts w:hint="eastAsia" w:hAnsi="宋体" w:eastAsia="宋体"/>
          <w:color w:val="auto"/>
        </w:rPr>
        <w:t>④磋商响应文件未按要求加密的；</w:t>
      </w:r>
    </w:p>
    <w:p>
      <w:pPr>
        <w:spacing w:line="360" w:lineRule="auto"/>
        <w:ind w:firstLine="436" w:firstLineChars="182"/>
        <w:rPr>
          <w:rFonts w:ascii="宋体" w:hAnsi="宋体" w:eastAsia="宋体"/>
          <w:color w:val="auto"/>
          <w:sz w:val="24"/>
        </w:rPr>
      </w:pPr>
      <w:r>
        <w:rPr>
          <w:rFonts w:hint="eastAsia" w:ascii="宋体" w:hAnsi="宋体" w:eastAsia="宋体"/>
          <w:color w:val="auto"/>
          <w:sz w:val="24"/>
        </w:rPr>
        <w:t>⑤磋商供应商递交两份或多份内容不同的磋商响应文件，或在一份磋商响应文件中对同一项目报有两个或多个报价，且未声明哪一个有效的；</w:t>
      </w:r>
    </w:p>
    <w:p>
      <w:pPr>
        <w:spacing w:line="360" w:lineRule="auto"/>
        <w:ind w:firstLine="436" w:firstLineChars="182"/>
        <w:rPr>
          <w:rFonts w:ascii="宋体" w:hAnsi="宋体" w:eastAsia="宋体"/>
          <w:color w:val="auto"/>
          <w:sz w:val="24"/>
        </w:rPr>
      </w:pPr>
      <w:r>
        <w:rPr>
          <w:rFonts w:hint="eastAsia" w:ascii="宋体" w:hAnsi="宋体" w:eastAsia="宋体"/>
          <w:color w:val="auto"/>
          <w:sz w:val="24"/>
        </w:rPr>
        <w:t>⑥磋商文件规定的其他内容。</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25.4在磋商过程中，磋商小组发现磋商供应商以他人的名义投标、串通投标或以其他弄虚作假方式投标的，该磋商供应商的投标应作废标处理。</w:t>
      </w:r>
    </w:p>
    <w:p>
      <w:pPr>
        <w:spacing w:line="360" w:lineRule="auto"/>
        <w:rPr>
          <w:rFonts w:ascii="宋体" w:hAnsi="宋体" w:eastAsia="宋体"/>
          <w:color w:val="auto"/>
          <w:sz w:val="24"/>
        </w:rPr>
      </w:pPr>
      <w:r>
        <w:rPr>
          <w:rFonts w:hint="eastAsia" w:ascii="宋体" w:hAnsi="宋体" w:eastAsia="宋体"/>
          <w:color w:val="auto"/>
          <w:sz w:val="24"/>
        </w:rPr>
        <w:t xml:space="preserve">    25.5在</w:t>
      </w:r>
      <w:r>
        <w:rPr>
          <w:rFonts w:hint="eastAsia" w:ascii="宋体" w:hAnsi="宋体" w:eastAsia="宋体"/>
          <w:color w:val="auto"/>
          <w:spacing w:val="-4"/>
          <w:sz w:val="24"/>
        </w:rPr>
        <w:t>磋商</w:t>
      </w:r>
      <w:r>
        <w:rPr>
          <w:rFonts w:hint="eastAsia" w:ascii="宋体" w:hAnsi="宋体" w:eastAsia="宋体"/>
          <w:color w:val="auto"/>
          <w:sz w:val="24"/>
        </w:rPr>
        <w:t>过程中，磋商小组发现磋商供应商的报价明显低于其他投标报价，使得其</w:t>
      </w:r>
      <w:r>
        <w:rPr>
          <w:rFonts w:hint="eastAsia" w:ascii="宋体" w:hAnsi="宋体" w:eastAsia="宋体"/>
          <w:color w:val="auto"/>
          <w:spacing w:val="-4"/>
          <w:sz w:val="24"/>
        </w:rPr>
        <w:t>磋商</w:t>
      </w:r>
      <w:r>
        <w:rPr>
          <w:rFonts w:hint="eastAsia" w:ascii="宋体" w:hAnsi="宋体" w:eastAsia="宋体"/>
          <w:color w:val="auto"/>
          <w:sz w:val="24"/>
        </w:rPr>
        <w:t>报价可能低于成本的，应当要求该磋商供应商作出书面说明并提供相关证明材料。磋商供应商不能合理说明或者不能提供相关证明材料的，由磋商小组认定该磋商供应商以低于成本报价竞标，其投标应作废标处理。</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25.6磋商小组可以书面方式要求磋商供应商对磋商响应文件中含义不明确、对同类问题表述不一致或者有明显文字和计算错误的内容作必要的澄清、说明或者补正。澄清、说明或者补正应以书面方式进行并不得超出磋商响应文件的范围或者改变磋商响应文件的实质性内容。</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25.7磋商供应商资格条件不符合国家有关规定和磋商文件要求的，或者拒不按照要求对磋商响应文件进行澄清、说明或者补正的，磋商小组可以否决其投标。</w:t>
      </w:r>
    </w:p>
    <w:p>
      <w:pPr>
        <w:widowControl/>
        <w:spacing w:line="360" w:lineRule="auto"/>
        <w:ind w:left="480"/>
        <w:jc w:val="left"/>
        <w:rPr>
          <w:rFonts w:ascii="宋体" w:hAnsi="宋体" w:eastAsia="宋体" w:cs="HKHDEU+ËÎÌå"/>
          <w:color w:val="auto"/>
          <w:spacing w:val="-2"/>
          <w:kern w:val="0"/>
          <w:sz w:val="24"/>
          <w:szCs w:val="22"/>
        </w:rPr>
      </w:pPr>
      <w:r>
        <w:rPr>
          <w:rFonts w:hint="eastAsia" w:ascii="宋体" w:hAnsi="宋体" w:eastAsia="宋体"/>
          <w:color w:val="auto"/>
          <w:sz w:val="24"/>
        </w:rPr>
        <w:t>25.8</w:t>
      </w:r>
      <w:r>
        <w:rPr>
          <w:rFonts w:ascii="宋体" w:hAnsi="宋体" w:eastAsia="宋体" w:cs="HKHDEU+ËÎÌå"/>
          <w:color w:val="auto"/>
          <w:spacing w:val="-2"/>
          <w:kern w:val="0"/>
          <w:sz w:val="24"/>
          <w:szCs w:val="22"/>
        </w:rPr>
        <w:t>磋商小组对各磋商供应商提交的响应文件进行资格性审查，供应商对其提交</w:t>
      </w:r>
    </w:p>
    <w:p>
      <w:pPr>
        <w:widowControl/>
        <w:spacing w:line="360" w:lineRule="auto"/>
        <w:jc w:val="left"/>
        <w:rPr>
          <w:rFonts w:ascii="宋体" w:hAnsi="宋体" w:eastAsia="宋体" w:cs="HKHDEU+ËÎÌå"/>
          <w:color w:val="auto"/>
          <w:spacing w:val="-2"/>
          <w:kern w:val="0"/>
          <w:sz w:val="24"/>
          <w:szCs w:val="22"/>
        </w:rPr>
      </w:pPr>
      <w:r>
        <w:rPr>
          <w:rFonts w:ascii="宋体" w:hAnsi="宋体" w:eastAsia="宋体" w:cs="HKHDEU+ËÎÌå"/>
          <w:color w:val="auto"/>
          <w:spacing w:val="-2"/>
          <w:kern w:val="0"/>
          <w:sz w:val="24"/>
          <w:szCs w:val="22"/>
        </w:rPr>
        <w:t>资料的真实性负责。</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25.9磋商小组按上述规定否决不合格供应商或者界定为废标的磋商响应文件不再进入详细评审阶段。</w:t>
      </w:r>
    </w:p>
    <w:p>
      <w:pPr>
        <w:spacing w:line="360" w:lineRule="auto"/>
        <w:ind w:firstLine="482" w:firstLineChars="200"/>
        <w:rPr>
          <w:rFonts w:ascii="宋体" w:hAnsi="宋体" w:eastAsia="宋体"/>
          <w:b/>
          <w:bCs/>
          <w:color w:val="auto"/>
          <w:sz w:val="24"/>
        </w:rPr>
      </w:pPr>
      <w:r>
        <w:rPr>
          <w:rFonts w:hint="eastAsia" w:ascii="宋体" w:hAnsi="宋体" w:eastAsia="宋体"/>
          <w:b/>
          <w:bCs/>
          <w:color w:val="auto"/>
          <w:sz w:val="24"/>
        </w:rPr>
        <w:t>26.磋商响应文件计算错误的处理</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26.1磋商小组将对确定为实质上响应磋商文件要求的磋商响应文件进行校核，看其报价是否有计算上、累计上或表达上的错误，修正错误的原则如下：</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26.1.1磋商文件中开标一览表（报价表）内容与磋商文件中相应内容不一致的，以开标一览表（报价表）为准；</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26.1.2大写金额与小写金额不一致的，以大写金额为准；</w:t>
      </w:r>
    </w:p>
    <w:p>
      <w:pPr>
        <w:pStyle w:val="25"/>
        <w:ind w:firstLine="480"/>
        <w:rPr>
          <w:rFonts w:hAnsi="宋体" w:eastAsia="宋体"/>
          <w:color w:val="auto"/>
        </w:rPr>
      </w:pPr>
      <w:r>
        <w:rPr>
          <w:rFonts w:hint="eastAsia" w:hAnsi="宋体" w:eastAsia="宋体"/>
          <w:color w:val="auto"/>
        </w:rPr>
        <w:t>26.1.3单价金额小数点或者百分比有明显错位的，以开标一览表的总价为准，并修改单价。</w:t>
      </w:r>
    </w:p>
    <w:p>
      <w:pPr>
        <w:spacing w:line="360" w:lineRule="auto"/>
        <w:ind w:firstLine="480" w:firstLineChars="200"/>
        <w:rPr>
          <w:color w:val="auto"/>
        </w:rPr>
      </w:pPr>
      <w:r>
        <w:rPr>
          <w:rFonts w:hint="eastAsia" w:ascii="宋体" w:hAnsi="宋体" w:eastAsia="宋体" w:cs="宋体"/>
          <w:color w:val="auto"/>
          <w:kern w:val="0"/>
          <w:sz w:val="24"/>
        </w:rPr>
        <w:t>26.1.4总价金额与按单价汇总金额一致的，以单价金额计算结果为准。</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26.2 同时出现两种以上不一致的，按照前款规定的顺序修正。修正后的报价应当采用书面形式，并加盖公单，或者由法定代表人或者授权的代表签字。经投标人确认后产生约束力，投标人不确认的，其投标无效。</w:t>
      </w:r>
    </w:p>
    <w:p>
      <w:pPr>
        <w:spacing w:line="360" w:lineRule="auto"/>
        <w:ind w:firstLine="482" w:firstLineChars="200"/>
        <w:rPr>
          <w:rFonts w:ascii="宋体" w:hAnsi="宋体" w:eastAsia="宋体"/>
          <w:b/>
          <w:bCs/>
          <w:color w:val="auto"/>
          <w:sz w:val="24"/>
        </w:rPr>
      </w:pPr>
      <w:r>
        <w:rPr>
          <w:rFonts w:hint="eastAsia" w:ascii="宋体" w:hAnsi="宋体" w:eastAsia="宋体"/>
          <w:b/>
          <w:bCs/>
          <w:color w:val="auto"/>
          <w:sz w:val="24"/>
        </w:rPr>
        <w:t>27.磋商响应文件的评审、比较、确定和否决</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27.1 磋商小组将按照本须知的规定，仅对在实质上响应磋商文件要求的合格磋商响应文件进行磋商和比较。</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27.2 磋商小组对磋商响应文件进行磋商和评审后，向采购人提出书面</w:t>
      </w:r>
      <w:r>
        <w:rPr>
          <w:rFonts w:hint="eastAsia" w:ascii="宋体" w:hAnsi="宋体" w:eastAsia="宋体"/>
          <w:color w:val="auto"/>
          <w:spacing w:val="-4"/>
          <w:sz w:val="24"/>
        </w:rPr>
        <w:t>磋商</w:t>
      </w:r>
      <w:r>
        <w:rPr>
          <w:rFonts w:hint="eastAsia" w:ascii="宋体" w:hAnsi="宋体" w:eastAsia="宋体"/>
          <w:color w:val="auto"/>
          <w:sz w:val="24"/>
        </w:rPr>
        <w:t>报告，</w:t>
      </w:r>
      <w:r>
        <w:rPr>
          <w:rFonts w:hint="eastAsia" w:ascii="宋体" w:hAnsi="宋体"/>
          <w:color w:val="auto"/>
          <w:sz w:val="24"/>
        </w:rPr>
        <w:t>并推荐3名有序的合格</w:t>
      </w:r>
      <w:r>
        <w:rPr>
          <w:rFonts w:hint="eastAsia" w:ascii="宋体" w:hAnsi="宋体" w:eastAsia="宋体"/>
          <w:color w:val="auto"/>
          <w:sz w:val="24"/>
        </w:rPr>
        <w:t>成交候选供应商</w:t>
      </w:r>
      <w:r>
        <w:rPr>
          <w:rFonts w:hint="eastAsia" w:ascii="宋体" w:hAnsi="宋体"/>
          <w:color w:val="auto"/>
          <w:sz w:val="24"/>
        </w:rPr>
        <w:t>。</w:t>
      </w:r>
      <w:r>
        <w:rPr>
          <w:rFonts w:hint="eastAsia" w:ascii="宋体" w:hAnsi="宋体" w:eastAsia="宋体"/>
          <w:color w:val="auto"/>
          <w:sz w:val="24"/>
        </w:rPr>
        <w:t>采购人</w:t>
      </w:r>
      <w:r>
        <w:rPr>
          <w:rFonts w:hint="eastAsia" w:ascii="宋体" w:hAnsi="宋体"/>
          <w:color w:val="auto"/>
          <w:sz w:val="24"/>
        </w:rPr>
        <w:t>从评审报告提出的成交候选供应商中，按照排序由高到低的原则确定成交供应商。</w:t>
      </w:r>
    </w:p>
    <w:p>
      <w:pPr>
        <w:spacing w:line="360" w:lineRule="auto"/>
        <w:jc w:val="center"/>
        <w:rPr>
          <w:rFonts w:ascii="宋体" w:hAnsi="宋体" w:eastAsia="宋体"/>
          <w:b/>
          <w:bCs/>
          <w:color w:val="auto"/>
          <w:sz w:val="24"/>
        </w:rPr>
      </w:pPr>
      <w:r>
        <w:rPr>
          <w:rFonts w:hint="eastAsia" w:ascii="宋体" w:hAnsi="宋体" w:eastAsia="宋体"/>
          <w:b/>
          <w:bCs/>
          <w:color w:val="auto"/>
          <w:sz w:val="24"/>
        </w:rPr>
        <w:t xml:space="preserve"> (六) </w:t>
      </w:r>
      <w:r>
        <w:rPr>
          <w:rFonts w:hint="eastAsia" w:ascii="宋体" w:hAnsi="宋体" w:eastAsia="宋体"/>
          <w:b/>
          <w:color w:val="auto"/>
          <w:sz w:val="24"/>
        </w:rPr>
        <w:t>无效磋商响应文件</w:t>
      </w:r>
    </w:p>
    <w:p>
      <w:pPr>
        <w:spacing w:line="360" w:lineRule="auto"/>
        <w:ind w:firstLine="482" w:firstLineChars="200"/>
        <w:rPr>
          <w:rFonts w:ascii="宋体" w:hAnsi="宋体" w:eastAsia="宋体"/>
          <w:b/>
          <w:bCs/>
          <w:color w:val="auto"/>
          <w:sz w:val="24"/>
        </w:rPr>
      </w:pPr>
      <w:r>
        <w:rPr>
          <w:rFonts w:hint="eastAsia" w:ascii="宋体" w:hAnsi="宋体" w:eastAsia="宋体"/>
          <w:b/>
          <w:bCs/>
          <w:color w:val="auto"/>
          <w:sz w:val="24"/>
        </w:rPr>
        <w:t>28.无效磋商响应文件及废标条款</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28.1磋商响应文件出现下列情况之一的，应作为无效磋商响应文件。</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28.l.1在磋商截止时间以后提交的磋商响应文件；</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28.1.2磋商响应文件未按照磋商文件要求签署、盖章的；</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28.1.3不具备磋商文件中规定的资格要求的；</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28.l.4报价超过磋商文件中规定的最高限价的；</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28.1.5磋商响应文件含有采购人不能接受的附加条件的；</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28.1.6磋商响应文件未按要求加密的；</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28.1.7磋商响应文件的关键内容字迹模糊、无法辨认的而响应供应商又不作出澄清的；</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28.1.8</w:t>
      </w:r>
      <w:r>
        <w:rPr>
          <w:rFonts w:ascii="宋体" w:hAnsi="宋体" w:eastAsia="宋体"/>
          <w:color w:val="auto"/>
          <w:sz w:val="24"/>
        </w:rPr>
        <w:t>不符合法律、法规规定的其他情形</w:t>
      </w:r>
      <w:r>
        <w:rPr>
          <w:rFonts w:hint="eastAsia" w:ascii="宋体" w:hAnsi="宋体" w:eastAsia="宋体"/>
          <w:color w:val="auto"/>
          <w:sz w:val="24"/>
        </w:rPr>
        <w:t>；</w:t>
      </w:r>
    </w:p>
    <w:p>
      <w:pPr>
        <w:adjustRightInd w:val="0"/>
        <w:snapToGrid w:val="0"/>
        <w:spacing w:line="360" w:lineRule="auto"/>
        <w:jc w:val="center"/>
        <w:rPr>
          <w:rFonts w:ascii="宋体" w:hAnsi="宋体" w:eastAsia="宋体"/>
          <w:b/>
          <w:bCs/>
          <w:color w:val="auto"/>
          <w:sz w:val="24"/>
        </w:rPr>
      </w:pPr>
      <w:r>
        <w:rPr>
          <w:rFonts w:hint="eastAsia" w:ascii="宋体" w:hAnsi="宋体" w:eastAsia="宋体"/>
          <w:b/>
          <w:bCs/>
          <w:color w:val="auto"/>
          <w:sz w:val="24"/>
        </w:rPr>
        <w:t>(七) 合同的授予</w:t>
      </w:r>
    </w:p>
    <w:p>
      <w:pPr>
        <w:adjustRightInd w:val="0"/>
        <w:snapToGrid w:val="0"/>
        <w:spacing w:line="360" w:lineRule="auto"/>
        <w:ind w:firstLine="482" w:firstLineChars="200"/>
        <w:rPr>
          <w:rFonts w:ascii="宋体" w:hAnsi="宋体" w:eastAsia="宋体"/>
          <w:b/>
          <w:bCs/>
          <w:color w:val="auto"/>
          <w:sz w:val="24"/>
        </w:rPr>
      </w:pPr>
      <w:r>
        <w:rPr>
          <w:rFonts w:hint="eastAsia" w:ascii="宋体" w:hAnsi="宋体" w:eastAsia="宋体"/>
          <w:b/>
          <w:bCs/>
          <w:color w:val="auto"/>
          <w:sz w:val="24"/>
        </w:rPr>
        <w:t>29.合同授予标准、</w:t>
      </w:r>
      <w:r>
        <w:rPr>
          <w:rFonts w:hint="eastAsia" w:ascii="宋体" w:hAnsi="宋体" w:eastAsia="宋体"/>
          <w:b/>
          <w:color w:val="auto"/>
          <w:sz w:val="24"/>
        </w:rPr>
        <w:t>成交</w:t>
      </w:r>
      <w:r>
        <w:rPr>
          <w:rFonts w:hint="eastAsia" w:ascii="宋体" w:hAnsi="宋体" w:eastAsia="宋体"/>
          <w:b/>
          <w:bCs/>
          <w:color w:val="auto"/>
          <w:sz w:val="24"/>
        </w:rPr>
        <w:t>通知书</w:t>
      </w:r>
    </w:p>
    <w:p>
      <w:pPr>
        <w:adjustRightInd w:val="0"/>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rPr>
        <w:t>29.l本项目的合同将授予采购人</w:t>
      </w:r>
      <w:r>
        <w:rPr>
          <w:rFonts w:hint="eastAsia" w:ascii="宋体" w:hAnsi="宋体"/>
          <w:color w:val="auto"/>
          <w:sz w:val="24"/>
        </w:rPr>
        <w:t>从评审报告提出的成交候选供应商中，按照排序由高到低的原则确定成交供应商</w:t>
      </w:r>
      <w:r>
        <w:rPr>
          <w:rFonts w:hint="eastAsia" w:ascii="宋体" w:hAnsi="宋体" w:eastAsia="宋体"/>
          <w:color w:val="auto"/>
          <w:sz w:val="24"/>
        </w:rPr>
        <w:t>。</w:t>
      </w:r>
    </w:p>
    <w:p>
      <w:pPr>
        <w:adjustRightInd w:val="0"/>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rPr>
        <w:t>29.2成交供应商确定后，由采购人向成交供应商发出成交通知书。</w:t>
      </w:r>
    </w:p>
    <w:p>
      <w:pPr>
        <w:adjustRightInd w:val="0"/>
        <w:snapToGrid w:val="0"/>
        <w:spacing w:line="360" w:lineRule="auto"/>
        <w:ind w:firstLine="482" w:firstLineChars="200"/>
        <w:rPr>
          <w:rFonts w:ascii="宋体" w:hAnsi="宋体" w:eastAsia="宋体"/>
          <w:b/>
          <w:bCs/>
          <w:color w:val="auto"/>
          <w:sz w:val="24"/>
        </w:rPr>
      </w:pPr>
      <w:r>
        <w:rPr>
          <w:rFonts w:hint="eastAsia" w:ascii="宋体" w:hAnsi="宋体" w:eastAsia="宋体"/>
          <w:b/>
          <w:bCs/>
          <w:color w:val="auto"/>
          <w:sz w:val="24"/>
        </w:rPr>
        <w:t>30.合同协议书的签订</w:t>
      </w:r>
    </w:p>
    <w:p>
      <w:pPr>
        <w:adjustRightInd w:val="0"/>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rPr>
        <w:t>30.1采购人与成交供应商将于成交通知书发出之日起30日内，按照磋商文件和成交供应商的磋商响应文件订立书面供货合同。</w:t>
      </w:r>
    </w:p>
    <w:p>
      <w:pPr>
        <w:adjustRightInd w:val="0"/>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rPr>
        <w:t>30.2成交供应商如不按磋商文件的规定与采购人订立合同，则采购人将废除授标（顺延至第二名），给采购人造成的损失的，还应当予以赔偿，同时依法承担相应的法律责任。</w:t>
      </w:r>
    </w:p>
    <w:p>
      <w:pPr>
        <w:adjustRightInd w:val="0"/>
        <w:snapToGrid w:val="0"/>
        <w:spacing w:line="360" w:lineRule="auto"/>
        <w:ind w:firstLine="480" w:firstLineChars="200"/>
        <w:rPr>
          <w:rFonts w:ascii="宋体" w:hAnsi="宋体" w:eastAsia="宋体"/>
          <w:color w:val="auto"/>
          <w:sz w:val="24"/>
        </w:rPr>
      </w:pPr>
      <w:r>
        <w:rPr>
          <w:rFonts w:hint="eastAsia" w:ascii="宋体" w:hAnsi="宋体" w:eastAsia="宋体"/>
          <w:color w:val="auto"/>
          <w:sz w:val="24"/>
        </w:rPr>
        <w:t>30.3成交供应商应当按照合同约定履行义务，完成成交项目的图书供应，不得将成交项目转让(转包)给他人。</w:t>
      </w:r>
    </w:p>
    <w:p>
      <w:pPr>
        <w:adjustRightInd w:val="0"/>
        <w:snapToGrid w:val="0"/>
        <w:spacing w:line="360" w:lineRule="auto"/>
        <w:ind w:firstLine="482" w:firstLineChars="200"/>
        <w:rPr>
          <w:rFonts w:ascii="宋体" w:hAnsi="宋体" w:eastAsia="宋体"/>
          <w:b/>
          <w:bCs/>
          <w:color w:val="auto"/>
          <w:sz w:val="24"/>
        </w:rPr>
      </w:pPr>
      <w:r>
        <w:rPr>
          <w:rFonts w:hint="eastAsia" w:ascii="宋体" w:hAnsi="宋体" w:eastAsia="宋体"/>
          <w:b/>
          <w:bCs/>
          <w:color w:val="auto"/>
          <w:sz w:val="24"/>
        </w:rPr>
        <w:t>31.履约保证金</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31.1 不提交。</w:t>
      </w:r>
    </w:p>
    <w:p>
      <w:pPr>
        <w:adjustRightInd w:val="0"/>
        <w:snapToGrid w:val="0"/>
        <w:spacing w:line="360" w:lineRule="auto"/>
        <w:ind w:firstLine="435"/>
        <w:jc w:val="center"/>
        <w:rPr>
          <w:rFonts w:ascii="宋体" w:hAnsi="宋体" w:eastAsia="宋体"/>
          <w:b/>
          <w:color w:val="auto"/>
          <w:sz w:val="28"/>
          <w:szCs w:val="28"/>
        </w:rPr>
      </w:pPr>
      <w:r>
        <w:rPr>
          <w:rFonts w:hint="eastAsia" w:ascii="宋体" w:hAnsi="宋体" w:eastAsia="宋体"/>
          <w:b/>
          <w:bCs/>
          <w:color w:val="auto"/>
          <w:sz w:val="28"/>
          <w:szCs w:val="28"/>
        </w:rPr>
        <w:t xml:space="preserve"> (八) 其  他</w:t>
      </w:r>
    </w:p>
    <w:p>
      <w:pPr>
        <w:adjustRightInd w:val="0"/>
        <w:snapToGrid w:val="0"/>
        <w:spacing w:line="360" w:lineRule="auto"/>
        <w:rPr>
          <w:rFonts w:ascii="宋体" w:hAnsi="宋体" w:eastAsia="宋体" w:cs="Times New Roman"/>
          <w:color w:val="auto"/>
          <w:sz w:val="24"/>
          <w:szCs w:val="20"/>
          <w:lang w:val="zh-CN"/>
        </w:rPr>
      </w:pPr>
      <w:r>
        <w:rPr>
          <w:rFonts w:hint="eastAsia" w:ascii="宋体" w:hAnsi="宋体" w:eastAsia="宋体"/>
          <w:b/>
          <w:color w:val="auto"/>
          <w:sz w:val="24"/>
        </w:rPr>
        <w:t xml:space="preserve">   32.</w:t>
      </w:r>
      <w:r>
        <w:rPr>
          <w:rFonts w:hint="eastAsia" w:ascii="宋体" w:hAnsi="宋体" w:eastAsia="宋体" w:cs="Times New Roman"/>
          <w:b/>
          <w:color w:val="auto"/>
          <w:sz w:val="24"/>
          <w:szCs w:val="20"/>
          <w:lang w:val="zh-CN"/>
        </w:rPr>
        <w:t>质疑提交</w:t>
      </w:r>
    </w:p>
    <w:p>
      <w:pPr>
        <w:autoSpaceDE w:val="0"/>
        <w:autoSpaceDN w:val="0"/>
        <w:adjustRightInd w:val="0"/>
        <w:snapToGrid w:val="0"/>
        <w:spacing w:line="360" w:lineRule="auto"/>
        <w:ind w:right="32" w:firstLine="480" w:firstLineChars="200"/>
        <w:rPr>
          <w:rFonts w:cs="Helvetica" w:asciiTheme="minorEastAsia" w:hAnsiTheme="minorEastAsia"/>
          <w:color w:val="auto"/>
          <w:kern w:val="0"/>
          <w:sz w:val="24"/>
          <w:lang w:val="zh-CN"/>
        </w:rPr>
      </w:pPr>
      <w:r>
        <w:rPr>
          <w:rFonts w:hint="eastAsia" w:ascii="宋体" w:hAnsi="宋体"/>
          <w:color w:val="auto"/>
          <w:kern w:val="0"/>
          <w:sz w:val="24"/>
        </w:rPr>
        <w:t>供应商</w:t>
      </w:r>
      <w:r>
        <w:rPr>
          <w:rFonts w:hint="eastAsia" w:cs="Helvetica" w:asciiTheme="minorEastAsia" w:hAnsiTheme="minorEastAsia"/>
          <w:color w:val="auto"/>
          <w:kern w:val="0"/>
          <w:sz w:val="24"/>
          <w:lang w:val="zh-CN"/>
        </w:rPr>
        <w:t>认为磋商文件、磋商过程和中标结果使自己的权益受到损害的，可以在知道或者应知其权益受到损害之日起7个工作日内，</w:t>
      </w:r>
      <w:r>
        <w:rPr>
          <w:rFonts w:cs="Helvetica" w:asciiTheme="minorEastAsia" w:hAnsiTheme="minorEastAsia"/>
          <w:color w:val="auto"/>
          <w:kern w:val="0"/>
          <w:sz w:val="24"/>
          <w:lang w:val="zh-CN"/>
        </w:rPr>
        <w:t>向</w:t>
      </w:r>
      <w:r>
        <w:rPr>
          <w:rFonts w:hint="eastAsia" w:cs="Helvetica" w:asciiTheme="minorEastAsia" w:hAnsiTheme="minorEastAsia"/>
          <w:color w:val="auto"/>
          <w:kern w:val="0"/>
          <w:sz w:val="24"/>
          <w:lang w:val="zh-CN"/>
        </w:rPr>
        <w:t>采购人</w:t>
      </w:r>
      <w:r>
        <w:rPr>
          <w:rFonts w:cs="Helvetica" w:asciiTheme="minorEastAsia" w:hAnsiTheme="minorEastAsia"/>
          <w:color w:val="auto"/>
          <w:kern w:val="0"/>
          <w:sz w:val="24"/>
          <w:lang w:val="zh-CN"/>
        </w:rPr>
        <w:t>提出质疑</w:t>
      </w:r>
      <w:r>
        <w:rPr>
          <w:rFonts w:hint="eastAsia" w:cs="Helvetica" w:asciiTheme="minorEastAsia" w:hAnsiTheme="minorEastAsia"/>
          <w:color w:val="auto"/>
          <w:kern w:val="0"/>
          <w:sz w:val="24"/>
          <w:lang w:val="zh-CN"/>
        </w:rPr>
        <w:t>，质疑提出时间以收到之日为准。要求供应商在法定质疑期内一次性提出针对同一采购程序环节的质疑。</w:t>
      </w:r>
    </w:p>
    <w:p>
      <w:pPr>
        <w:spacing w:line="360" w:lineRule="auto"/>
        <w:ind w:firstLine="482" w:firstLineChars="200"/>
        <w:rPr>
          <w:rFonts w:ascii="宋体" w:hAnsi="宋体" w:eastAsia="宋体" w:cs="Times New Roman"/>
          <w:color w:val="auto"/>
          <w:sz w:val="24"/>
          <w:szCs w:val="20"/>
          <w:lang w:val="zh-CN"/>
        </w:rPr>
      </w:pPr>
      <w:r>
        <w:rPr>
          <w:rFonts w:hint="eastAsia" w:ascii="宋体" w:hAnsi="宋体" w:eastAsia="宋体"/>
          <w:b/>
          <w:color w:val="auto"/>
          <w:sz w:val="24"/>
        </w:rPr>
        <w:t>33.</w:t>
      </w:r>
      <w:r>
        <w:rPr>
          <w:rFonts w:hint="eastAsia" w:ascii="宋体" w:hAnsi="宋体"/>
          <w:b/>
          <w:color w:val="auto"/>
          <w:kern w:val="0"/>
          <w:sz w:val="24"/>
        </w:rPr>
        <w:t>供应商</w:t>
      </w:r>
      <w:r>
        <w:rPr>
          <w:rFonts w:ascii="宋体" w:hAnsi="宋体" w:eastAsia="宋体" w:cs="Times New Roman"/>
          <w:b/>
          <w:color w:val="auto"/>
          <w:sz w:val="24"/>
          <w:szCs w:val="20"/>
          <w:lang w:val="zh-CN"/>
        </w:rPr>
        <w:t>应知其权益受到损害之日是指：</w:t>
      </w:r>
    </w:p>
    <w:p>
      <w:pPr>
        <w:spacing w:line="360" w:lineRule="auto"/>
        <w:ind w:firstLine="480" w:firstLineChars="200"/>
        <w:rPr>
          <w:rFonts w:ascii="宋体" w:hAnsi="宋体" w:eastAsia="宋体" w:cs="Times New Roman"/>
          <w:color w:val="auto"/>
          <w:sz w:val="24"/>
          <w:szCs w:val="20"/>
          <w:lang w:val="zh-CN"/>
        </w:rPr>
      </w:pPr>
      <w:r>
        <w:rPr>
          <w:rFonts w:hint="eastAsia" w:ascii="宋体" w:hAnsi="宋体" w:eastAsia="宋体" w:cs="Times New Roman"/>
          <w:color w:val="auto"/>
          <w:sz w:val="24"/>
          <w:szCs w:val="20"/>
          <w:lang w:val="zh-CN"/>
        </w:rPr>
        <w:t>3</w:t>
      </w:r>
      <w:r>
        <w:rPr>
          <w:rFonts w:hint="eastAsia" w:ascii="宋体" w:hAnsi="宋体" w:eastAsia="宋体" w:cs="Times New Roman"/>
          <w:color w:val="auto"/>
          <w:sz w:val="24"/>
          <w:szCs w:val="20"/>
        </w:rPr>
        <w:t>3</w:t>
      </w:r>
      <w:r>
        <w:rPr>
          <w:rFonts w:hint="eastAsia" w:ascii="宋体" w:hAnsi="宋体" w:eastAsia="宋体" w:cs="Times New Roman"/>
          <w:color w:val="auto"/>
          <w:sz w:val="24"/>
          <w:szCs w:val="20"/>
          <w:lang w:val="zh-CN"/>
        </w:rPr>
        <w:t>.1</w:t>
      </w:r>
      <w:r>
        <w:rPr>
          <w:rFonts w:ascii="宋体" w:hAnsi="宋体" w:eastAsia="宋体" w:cs="Times New Roman"/>
          <w:color w:val="auto"/>
          <w:sz w:val="24"/>
          <w:szCs w:val="20"/>
          <w:lang w:val="zh-CN"/>
        </w:rPr>
        <w:t>对可以质疑的</w:t>
      </w:r>
      <w:r>
        <w:rPr>
          <w:rFonts w:hint="eastAsia" w:ascii="宋体" w:hAnsi="宋体" w:eastAsia="宋体" w:cs="Times New Roman"/>
          <w:color w:val="auto"/>
          <w:sz w:val="24"/>
          <w:szCs w:val="20"/>
          <w:lang w:val="zh-CN"/>
        </w:rPr>
        <w:t>招标</w:t>
      </w:r>
      <w:r>
        <w:rPr>
          <w:rFonts w:ascii="宋体" w:hAnsi="宋体" w:eastAsia="宋体" w:cs="Times New Roman"/>
          <w:color w:val="auto"/>
          <w:sz w:val="24"/>
          <w:szCs w:val="20"/>
          <w:lang w:val="zh-CN"/>
        </w:rPr>
        <w:t>文件提出质疑的，为收到</w:t>
      </w:r>
      <w:r>
        <w:rPr>
          <w:rFonts w:hint="eastAsia" w:ascii="宋体" w:hAnsi="宋体" w:eastAsia="宋体" w:cs="Times New Roman"/>
          <w:color w:val="auto"/>
          <w:sz w:val="24"/>
          <w:szCs w:val="20"/>
          <w:lang w:val="zh-CN"/>
        </w:rPr>
        <w:t>招标</w:t>
      </w:r>
      <w:r>
        <w:rPr>
          <w:rFonts w:ascii="宋体" w:hAnsi="宋体" w:eastAsia="宋体" w:cs="Times New Roman"/>
          <w:color w:val="auto"/>
          <w:sz w:val="24"/>
          <w:szCs w:val="20"/>
          <w:lang w:val="zh-CN"/>
        </w:rPr>
        <w:t>文件之日或者</w:t>
      </w:r>
      <w:r>
        <w:rPr>
          <w:rFonts w:hint="eastAsia" w:ascii="宋体" w:hAnsi="宋体" w:eastAsia="宋体" w:cs="Times New Roman"/>
          <w:color w:val="auto"/>
          <w:sz w:val="24"/>
          <w:szCs w:val="20"/>
          <w:lang w:val="zh-CN"/>
        </w:rPr>
        <w:t>招标</w:t>
      </w:r>
      <w:r>
        <w:rPr>
          <w:rFonts w:ascii="宋体" w:hAnsi="宋体" w:eastAsia="宋体" w:cs="Times New Roman"/>
          <w:color w:val="auto"/>
          <w:sz w:val="24"/>
          <w:szCs w:val="20"/>
          <w:lang w:val="zh-CN"/>
        </w:rPr>
        <w:t>文件公告期限届满之日</w:t>
      </w:r>
      <w:r>
        <w:rPr>
          <w:rFonts w:hint="eastAsia" w:ascii="宋体" w:hAnsi="宋体" w:eastAsia="宋体" w:cs="Times New Roman"/>
          <w:color w:val="auto"/>
          <w:sz w:val="24"/>
          <w:szCs w:val="20"/>
          <w:lang w:val="zh-CN"/>
        </w:rPr>
        <w:t>；</w:t>
      </w:r>
    </w:p>
    <w:p>
      <w:pPr>
        <w:spacing w:line="360" w:lineRule="auto"/>
        <w:ind w:firstLine="480" w:firstLineChars="200"/>
        <w:rPr>
          <w:rFonts w:ascii="宋体" w:hAnsi="宋体" w:eastAsia="宋体" w:cs="Times New Roman"/>
          <w:color w:val="auto"/>
          <w:sz w:val="24"/>
          <w:szCs w:val="20"/>
          <w:lang w:val="zh-CN"/>
        </w:rPr>
      </w:pPr>
      <w:r>
        <w:rPr>
          <w:rFonts w:hint="eastAsia" w:ascii="宋体" w:hAnsi="宋体" w:eastAsia="宋体" w:cs="Times New Roman"/>
          <w:color w:val="auto"/>
          <w:sz w:val="24"/>
          <w:szCs w:val="20"/>
          <w:lang w:val="zh-CN"/>
        </w:rPr>
        <w:t>3</w:t>
      </w:r>
      <w:r>
        <w:rPr>
          <w:rFonts w:hint="eastAsia" w:ascii="宋体" w:hAnsi="宋体" w:eastAsia="宋体" w:cs="Times New Roman"/>
          <w:color w:val="auto"/>
          <w:sz w:val="24"/>
          <w:szCs w:val="20"/>
        </w:rPr>
        <w:t>3</w:t>
      </w:r>
      <w:r>
        <w:rPr>
          <w:rFonts w:hint="eastAsia" w:ascii="宋体" w:hAnsi="宋体" w:eastAsia="宋体" w:cs="Times New Roman"/>
          <w:color w:val="auto"/>
          <w:sz w:val="24"/>
          <w:szCs w:val="20"/>
          <w:lang w:val="zh-CN"/>
        </w:rPr>
        <w:t>.2</w:t>
      </w:r>
      <w:r>
        <w:rPr>
          <w:rFonts w:ascii="宋体" w:hAnsi="宋体" w:eastAsia="宋体" w:cs="Times New Roman"/>
          <w:color w:val="auto"/>
          <w:sz w:val="24"/>
          <w:szCs w:val="20"/>
          <w:lang w:val="zh-CN"/>
        </w:rPr>
        <w:t>对</w:t>
      </w:r>
      <w:r>
        <w:rPr>
          <w:rFonts w:hint="eastAsia" w:ascii="宋体" w:hAnsi="宋体" w:eastAsia="宋体" w:cs="Times New Roman"/>
          <w:color w:val="auto"/>
          <w:sz w:val="24"/>
          <w:szCs w:val="20"/>
          <w:lang w:val="zh-CN"/>
        </w:rPr>
        <w:t>招标</w:t>
      </w:r>
      <w:r>
        <w:rPr>
          <w:rFonts w:ascii="宋体" w:hAnsi="宋体" w:eastAsia="宋体" w:cs="Times New Roman"/>
          <w:color w:val="auto"/>
          <w:sz w:val="24"/>
          <w:szCs w:val="20"/>
          <w:lang w:val="zh-CN"/>
        </w:rPr>
        <w:t>过程提出质疑的，为各</w:t>
      </w:r>
      <w:r>
        <w:rPr>
          <w:rFonts w:hint="eastAsia" w:ascii="宋体" w:hAnsi="宋体" w:eastAsia="宋体" w:cs="Times New Roman"/>
          <w:color w:val="auto"/>
          <w:sz w:val="24"/>
          <w:szCs w:val="20"/>
          <w:lang w:val="zh-CN"/>
        </w:rPr>
        <w:t>招标</w:t>
      </w:r>
      <w:r>
        <w:rPr>
          <w:rFonts w:ascii="宋体" w:hAnsi="宋体" w:eastAsia="宋体" w:cs="Times New Roman"/>
          <w:color w:val="auto"/>
          <w:sz w:val="24"/>
          <w:szCs w:val="20"/>
          <w:lang w:val="zh-CN"/>
        </w:rPr>
        <w:t>程序环节结束之日</w:t>
      </w:r>
      <w:r>
        <w:rPr>
          <w:rFonts w:hint="eastAsia" w:ascii="宋体" w:hAnsi="宋体" w:eastAsia="宋体" w:cs="Times New Roman"/>
          <w:color w:val="auto"/>
          <w:sz w:val="24"/>
          <w:szCs w:val="20"/>
          <w:lang w:val="zh-CN"/>
        </w:rPr>
        <w:t>；</w:t>
      </w:r>
    </w:p>
    <w:p>
      <w:pPr>
        <w:spacing w:line="360" w:lineRule="auto"/>
        <w:ind w:firstLine="480" w:firstLineChars="200"/>
        <w:rPr>
          <w:rFonts w:ascii="宋体" w:hAnsi="宋体" w:eastAsia="宋体" w:cs="Times New Roman"/>
          <w:color w:val="auto"/>
          <w:sz w:val="24"/>
          <w:szCs w:val="20"/>
          <w:lang w:val="zh-CN"/>
        </w:rPr>
      </w:pPr>
      <w:r>
        <w:rPr>
          <w:rFonts w:hint="eastAsia" w:ascii="宋体" w:hAnsi="宋体" w:eastAsia="宋体" w:cs="Times New Roman"/>
          <w:color w:val="auto"/>
          <w:sz w:val="24"/>
          <w:szCs w:val="20"/>
          <w:lang w:val="zh-CN"/>
        </w:rPr>
        <w:t>3</w:t>
      </w:r>
      <w:r>
        <w:rPr>
          <w:rFonts w:hint="eastAsia" w:ascii="宋体" w:hAnsi="宋体" w:eastAsia="宋体" w:cs="Times New Roman"/>
          <w:color w:val="auto"/>
          <w:sz w:val="24"/>
          <w:szCs w:val="20"/>
        </w:rPr>
        <w:t>3</w:t>
      </w:r>
      <w:r>
        <w:rPr>
          <w:rFonts w:hint="eastAsia" w:ascii="宋体" w:hAnsi="宋体" w:eastAsia="宋体" w:cs="Times New Roman"/>
          <w:color w:val="auto"/>
          <w:sz w:val="24"/>
          <w:szCs w:val="20"/>
          <w:lang w:val="zh-CN"/>
        </w:rPr>
        <w:t>.3</w:t>
      </w:r>
      <w:r>
        <w:rPr>
          <w:rFonts w:ascii="宋体" w:hAnsi="宋体" w:eastAsia="宋体" w:cs="Times New Roman"/>
          <w:color w:val="auto"/>
          <w:sz w:val="24"/>
          <w:szCs w:val="20"/>
          <w:lang w:val="zh-CN"/>
        </w:rPr>
        <w:t>对中标结果提出质疑的，为中标公告期限届满之日。</w:t>
      </w:r>
    </w:p>
    <w:p>
      <w:pPr>
        <w:spacing w:line="360" w:lineRule="auto"/>
        <w:ind w:firstLine="482" w:firstLineChars="200"/>
        <w:rPr>
          <w:rFonts w:ascii="宋体" w:hAnsi="宋体" w:eastAsia="宋体" w:cs="Times New Roman"/>
          <w:color w:val="auto"/>
          <w:sz w:val="24"/>
          <w:szCs w:val="20"/>
          <w:lang w:val="zh-CN"/>
        </w:rPr>
      </w:pPr>
      <w:r>
        <w:rPr>
          <w:rFonts w:hint="eastAsia" w:ascii="宋体" w:hAnsi="宋体" w:eastAsia="宋体" w:cs="Times New Roman"/>
          <w:b/>
          <w:color w:val="auto"/>
          <w:sz w:val="24"/>
          <w:szCs w:val="20"/>
          <w:lang w:val="zh-CN"/>
        </w:rPr>
        <w:t>3</w:t>
      </w:r>
      <w:r>
        <w:rPr>
          <w:rFonts w:hint="eastAsia" w:ascii="宋体" w:hAnsi="宋体" w:eastAsia="宋体" w:cs="Times New Roman"/>
          <w:b/>
          <w:color w:val="auto"/>
          <w:sz w:val="24"/>
          <w:szCs w:val="20"/>
        </w:rPr>
        <w:t>4</w:t>
      </w:r>
      <w:r>
        <w:rPr>
          <w:rFonts w:hint="eastAsia" w:ascii="宋体" w:hAnsi="宋体" w:eastAsia="宋体" w:cs="Times New Roman"/>
          <w:color w:val="auto"/>
          <w:sz w:val="24"/>
          <w:szCs w:val="20"/>
          <w:lang w:val="zh-CN"/>
        </w:rPr>
        <w:t>.</w:t>
      </w:r>
      <w:r>
        <w:rPr>
          <w:rFonts w:hint="eastAsia" w:ascii="宋体" w:hAnsi="宋体" w:eastAsia="宋体" w:cs="Times New Roman"/>
          <w:b/>
          <w:color w:val="auto"/>
          <w:sz w:val="24"/>
          <w:szCs w:val="20"/>
          <w:lang w:val="zh-CN"/>
        </w:rPr>
        <w:t>质疑书应当包括下列主要内容：</w:t>
      </w:r>
    </w:p>
    <w:p>
      <w:pPr>
        <w:spacing w:line="360" w:lineRule="auto"/>
        <w:ind w:firstLine="480" w:firstLineChars="200"/>
        <w:rPr>
          <w:rFonts w:ascii="宋体" w:hAnsi="宋体" w:eastAsia="宋体" w:cs="Times New Roman"/>
          <w:color w:val="auto"/>
          <w:sz w:val="24"/>
          <w:szCs w:val="20"/>
          <w:lang w:val="zh-CN"/>
        </w:rPr>
      </w:pPr>
      <w:r>
        <w:rPr>
          <w:rFonts w:hint="eastAsia" w:ascii="宋体" w:hAnsi="宋体" w:eastAsia="宋体" w:cs="Times New Roman"/>
          <w:color w:val="auto"/>
          <w:sz w:val="24"/>
          <w:szCs w:val="20"/>
          <w:lang w:val="zh-CN"/>
        </w:rPr>
        <w:t>3</w:t>
      </w:r>
      <w:r>
        <w:rPr>
          <w:rFonts w:hint="eastAsia" w:ascii="宋体" w:hAnsi="宋体" w:eastAsia="宋体" w:cs="Times New Roman"/>
          <w:color w:val="auto"/>
          <w:sz w:val="24"/>
          <w:szCs w:val="20"/>
        </w:rPr>
        <w:t>4</w:t>
      </w:r>
      <w:r>
        <w:rPr>
          <w:rFonts w:hint="eastAsia" w:ascii="宋体" w:hAnsi="宋体" w:eastAsia="宋体" w:cs="Times New Roman"/>
          <w:color w:val="auto"/>
          <w:sz w:val="24"/>
          <w:szCs w:val="20"/>
          <w:lang w:val="zh-CN"/>
        </w:rPr>
        <w:t>.1质疑人的名称、地址、联系人及联系电话等；</w:t>
      </w:r>
    </w:p>
    <w:p>
      <w:pPr>
        <w:spacing w:line="360" w:lineRule="auto"/>
        <w:ind w:firstLine="480" w:firstLineChars="200"/>
        <w:rPr>
          <w:rFonts w:ascii="宋体" w:hAnsi="宋体" w:eastAsia="宋体" w:cs="Times New Roman"/>
          <w:color w:val="auto"/>
          <w:sz w:val="24"/>
          <w:szCs w:val="20"/>
          <w:lang w:val="zh-CN"/>
        </w:rPr>
      </w:pPr>
      <w:r>
        <w:rPr>
          <w:rFonts w:hint="eastAsia" w:ascii="宋体" w:hAnsi="宋体" w:eastAsia="宋体" w:cs="Times New Roman"/>
          <w:color w:val="auto"/>
          <w:sz w:val="24"/>
          <w:szCs w:val="20"/>
          <w:lang w:val="zh-CN"/>
        </w:rPr>
        <w:t>3</w:t>
      </w:r>
      <w:r>
        <w:rPr>
          <w:rFonts w:hint="eastAsia" w:ascii="宋体" w:hAnsi="宋体" w:eastAsia="宋体" w:cs="Times New Roman"/>
          <w:color w:val="auto"/>
          <w:sz w:val="24"/>
          <w:szCs w:val="20"/>
        </w:rPr>
        <w:t>4</w:t>
      </w:r>
      <w:r>
        <w:rPr>
          <w:rFonts w:hint="eastAsia" w:ascii="宋体" w:hAnsi="宋体" w:eastAsia="宋体" w:cs="Times New Roman"/>
          <w:color w:val="auto"/>
          <w:sz w:val="24"/>
          <w:szCs w:val="20"/>
          <w:lang w:val="zh-CN"/>
        </w:rPr>
        <w:t>.2被质疑人的名称、地址、联系人及联系电话等；</w:t>
      </w:r>
    </w:p>
    <w:p>
      <w:pPr>
        <w:spacing w:line="360" w:lineRule="auto"/>
        <w:ind w:firstLine="480" w:firstLineChars="200"/>
        <w:rPr>
          <w:rFonts w:ascii="宋体" w:hAnsi="宋体" w:eastAsia="宋体" w:cs="Times New Roman"/>
          <w:color w:val="auto"/>
          <w:sz w:val="24"/>
          <w:szCs w:val="20"/>
          <w:lang w:val="zh-CN"/>
        </w:rPr>
      </w:pPr>
      <w:r>
        <w:rPr>
          <w:rFonts w:hint="eastAsia" w:ascii="宋体" w:hAnsi="宋体" w:eastAsia="宋体" w:cs="Times New Roman"/>
          <w:color w:val="auto"/>
          <w:sz w:val="24"/>
          <w:szCs w:val="20"/>
          <w:lang w:val="zh-CN"/>
        </w:rPr>
        <w:t>3</w:t>
      </w:r>
      <w:r>
        <w:rPr>
          <w:rFonts w:hint="eastAsia" w:ascii="宋体" w:hAnsi="宋体" w:eastAsia="宋体" w:cs="Times New Roman"/>
          <w:color w:val="auto"/>
          <w:sz w:val="24"/>
          <w:szCs w:val="20"/>
        </w:rPr>
        <w:t>4</w:t>
      </w:r>
      <w:r>
        <w:rPr>
          <w:rFonts w:hint="eastAsia" w:ascii="宋体" w:hAnsi="宋体" w:eastAsia="宋体" w:cs="Times New Roman"/>
          <w:color w:val="auto"/>
          <w:sz w:val="24"/>
          <w:szCs w:val="20"/>
          <w:lang w:val="zh-CN"/>
        </w:rPr>
        <w:t>.3质疑项目名称及编号、质疑事项和明确的请求；</w:t>
      </w:r>
    </w:p>
    <w:p>
      <w:pPr>
        <w:spacing w:line="360" w:lineRule="auto"/>
        <w:ind w:firstLine="480" w:firstLineChars="200"/>
        <w:rPr>
          <w:rFonts w:ascii="宋体" w:hAnsi="宋体" w:eastAsia="宋体" w:cs="Times New Roman"/>
          <w:color w:val="auto"/>
          <w:sz w:val="24"/>
          <w:szCs w:val="20"/>
          <w:lang w:val="zh-CN"/>
        </w:rPr>
      </w:pPr>
      <w:r>
        <w:rPr>
          <w:rFonts w:hint="eastAsia" w:ascii="宋体" w:hAnsi="宋体" w:eastAsia="宋体" w:cs="Times New Roman"/>
          <w:color w:val="auto"/>
          <w:sz w:val="24"/>
          <w:szCs w:val="20"/>
          <w:lang w:val="zh-CN"/>
        </w:rPr>
        <w:t>3</w:t>
      </w:r>
      <w:r>
        <w:rPr>
          <w:rFonts w:hint="eastAsia" w:ascii="宋体" w:hAnsi="宋体" w:eastAsia="宋体" w:cs="Times New Roman"/>
          <w:color w:val="auto"/>
          <w:sz w:val="24"/>
          <w:szCs w:val="20"/>
        </w:rPr>
        <w:t>4</w:t>
      </w:r>
      <w:r>
        <w:rPr>
          <w:rFonts w:hint="eastAsia" w:ascii="宋体" w:hAnsi="宋体" w:eastAsia="宋体" w:cs="Times New Roman"/>
          <w:color w:val="auto"/>
          <w:sz w:val="24"/>
          <w:szCs w:val="20"/>
          <w:lang w:val="zh-CN"/>
        </w:rPr>
        <w:t>.4质疑事项的事实根据、法律依据及其他必要的证明材料；</w:t>
      </w:r>
    </w:p>
    <w:p>
      <w:pPr>
        <w:spacing w:line="360" w:lineRule="auto"/>
        <w:ind w:firstLine="480" w:firstLineChars="200"/>
        <w:rPr>
          <w:rFonts w:ascii="宋体" w:hAnsi="宋体" w:eastAsia="宋体" w:cs="Times New Roman"/>
          <w:color w:val="auto"/>
          <w:sz w:val="24"/>
          <w:szCs w:val="20"/>
          <w:lang w:val="zh-CN"/>
        </w:rPr>
      </w:pPr>
      <w:r>
        <w:rPr>
          <w:rFonts w:hint="eastAsia" w:ascii="宋体" w:hAnsi="宋体" w:eastAsia="宋体" w:cs="Times New Roman"/>
          <w:color w:val="auto"/>
          <w:sz w:val="24"/>
          <w:szCs w:val="20"/>
          <w:lang w:val="zh-CN"/>
        </w:rPr>
        <w:t>3</w:t>
      </w:r>
      <w:r>
        <w:rPr>
          <w:rFonts w:hint="eastAsia" w:ascii="宋体" w:hAnsi="宋体" w:eastAsia="宋体" w:cs="Times New Roman"/>
          <w:color w:val="auto"/>
          <w:sz w:val="24"/>
          <w:szCs w:val="20"/>
        </w:rPr>
        <w:t>4</w:t>
      </w:r>
      <w:r>
        <w:rPr>
          <w:rFonts w:hint="eastAsia" w:ascii="宋体" w:hAnsi="宋体" w:eastAsia="宋体" w:cs="Times New Roman"/>
          <w:color w:val="auto"/>
          <w:sz w:val="24"/>
          <w:szCs w:val="20"/>
          <w:lang w:val="zh-CN"/>
        </w:rPr>
        <w:t>.5提出质疑的日期；</w:t>
      </w:r>
    </w:p>
    <w:p>
      <w:pPr>
        <w:spacing w:line="360" w:lineRule="auto"/>
        <w:ind w:firstLine="480" w:firstLineChars="200"/>
        <w:rPr>
          <w:rFonts w:ascii="宋体" w:hAnsi="宋体" w:eastAsia="宋体" w:cs="Times New Roman"/>
          <w:color w:val="auto"/>
          <w:sz w:val="24"/>
          <w:szCs w:val="20"/>
          <w:lang w:val="zh-CN"/>
        </w:rPr>
      </w:pPr>
      <w:r>
        <w:rPr>
          <w:rFonts w:hint="eastAsia" w:ascii="宋体" w:hAnsi="宋体" w:eastAsia="宋体" w:cs="Times New Roman"/>
          <w:color w:val="auto"/>
          <w:sz w:val="24"/>
          <w:szCs w:val="20"/>
          <w:lang w:val="zh-CN"/>
        </w:rPr>
        <w:t>3</w:t>
      </w:r>
      <w:r>
        <w:rPr>
          <w:rFonts w:hint="eastAsia" w:ascii="宋体" w:hAnsi="宋体" w:eastAsia="宋体" w:cs="Times New Roman"/>
          <w:color w:val="auto"/>
          <w:sz w:val="24"/>
          <w:szCs w:val="20"/>
        </w:rPr>
        <w:t>4</w:t>
      </w:r>
      <w:r>
        <w:rPr>
          <w:rFonts w:hint="eastAsia" w:ascii="宋体" w:hAnsi="宋体" w:eastAsia="宋体" w:cs="Times New Roman"/>
          <w:color w:val="auto"/>
          <w:sz w:val="24"/>
          <w:szCs w:val="20"/>
          <w:lang w:val="zh-CN"/>
        </w:rPr>
        <w:t>.6质疑人的署名及签章（质疑人为自然人的，应当由本人签字；质疑人为法人或者其他组织的，应当由法定代表人或者主要负责人签字盖章并加盖公章）；</w:t>
      </w:r>
    </w:p>
    <w:p>
      <w:pPr>
        <w:spacing w:line="360" w:lineRule="auto"/>
        <w:ind w:firstLine="480" w:firstLineChars="200"/>
        <w:rPr>
          <w:rFonts w:ascii="宋体" w:hAnsi="宋体" w:eastAsia="宋体" w:cs="Times New Roman"/>
          <w:color w:val="auto"/>
          <w:sz w:val="24"/>
          <w:szCs w:val="20"/>
          <w:lang w:val="zh-CN"/>
        </w:rPr>
      </w:pPr>
      <w:r>
        <w:rPr>
          <w:rFonts w:hint="eastAsia" w:ascii="宋体" w:hAnsi="宋体" w:eastAsia="宋体" w:cs="Times New Roman"/>
          <w:color w:val="auto"/>
          <w:sz w:val="24"/>
          <w:szCs w:val="20"/>
          <w:lang w:val="zh-CN"/>
        </w:rPr>
        <w:t>3</w:t>
      </w:r>
      <w:r>
        <w:rPr>
          <w:rFonts w:hint="eastAsia" w:ascii="宋体" w:hAnsi="宋体" w:eastAsia="宋体" w:cs="Times New Roman"/>
          <w:color w:val="auto"/>
          <w:sz w:val="24"/>
          <w:szCs w:val="20"/>
        </w:rPr>
        <w:t>4</w:t>
      </w:r>
      <w:r>
        <w:rPr>
          <w:rFonts w:hint="eastAsia" w:ascii="宋体" w:hAnsi="宋体" w:eastAsia="宋体" w:cs="Times New Roman"/>
          <w:color w:val="auto"/>
          <w:sz w:val="24"/>
          <w:szCs w:val="20"/>
          <w:lang w:val="zh-CN"/>
        </w:rPr>
        <w:t>.7法人授权委托书（质疑人或法人委托代理人办理质疑事务的，应当提供授权委托书，授权委托书应当载明委托代理的具体权限和事项）。</w:t>
      </w:r>
    </w:p>
    <w:p>
      <w:pPr>
        <w:adjustRightInd w:val="0"/>
        <w:snapToGrid w:val="0"/>
        <w:spacing w:line="360" w:lineRule="auto"/>
        <w:ind w:firstLine="482" w:firstLineChars="200"/>
        <w:rPr>
          <w:rFonts w:cs="Helvetica" w:asciiTheme="minorEastAsia" w:hAnsiTheme="minorEastAsia"/>
          <w:color w:val="auto"/>
          <w:kern w:val="0"/>
          <w:sz w:val="24"/>
          <w:lang w:val="zh-CN"/>
        </w:rPr>
      </w:pPr>
      <w:r>
        <w:rPr>
          <w:rFonts w:hint="eastAsia" w:hAnsi="宋体"/>
          <w:b/>
          <w:color w:val="auto"/>
          <w:sz w:val="24"/>
        </w:rPr>
        <w:t>质疑书不符合上述要求的，采购人应书面告知具体事项，质疑人应当按要求进行修改或补充，并在质疑有效期限内提交。</w:t>
      </w:r>
    </w:p>
    <w:p>
      <w:pPr>
        <w:spacing w:line="360" w:lineRule="auto"/>
        <w:ind w:firstLine="482" w:firstLineChars="200"/>
        <w:rPr>
          <w:rFonts w:ascii="宋体" w:hAnsi="宋体" w:eastAsia="宋体" w:cs="Times New Roman"/>
          <w:b/>
          <w:color w:val="auto"/>
          <w:sz w:val="24"/>
          <w:szCs w:val="20"/>
          <w:lang w:val="zh-CN"/>
        </w:rPr>
      </w:pPr>
      <w:r>
        <w:rPr>
          <w:rFonts w:hint="eastAsia" w:ascii="宋体" w:hAnsi="宋体"/>
          <w:b/>
          <w:color w:val="auto"/>
          <w:kern w:val="0"/>
          <w:sz w:val="24"/>
        </w:rPr>
        <w:t>35.</w:t>
      </w:r>
      <w:r>
        <w:rPr>
          <w:rFonts w:hint="eastAsia" w:ascii="宋体" w:hAnsi="宋体" w:eastAsia="宋体" w:cs="Times New Roman"/>
          <w:b/>
          <w:color w:val="auto"/>
          <w:sz w:val="24"/>
          <w:szCs w:val="20"/>
          <w:lang w:val="zh-CN"/>
        </w:rPr>
        <w:t>不予受理的情形</w:t>
      </w:r>
    </w:p>
    <w:p>
      <w:pPr>
        <w:spacing w:line="360" w:lineRule="auto"/>
        <w:ind w:firstLine="480" w:firstLineChars="200"/>
        <w:rPr>
          <w:rFonts w:ascii="宋体" w:hAnsi="宋体" w:eastAsia="宋体" w:cs="Times New Roman"/>
          <w:color w:val="auto"/>
          <w:sz w:val="24"/>
          <w:szCs w:val="20"/>
          <w:lang w:val="zh-CN"/>
        </w:rPr>
      </w:pPr>
      <w:r>
        <w:rPr>
          <w:rFonts w:hint="eastAsia" w:ascii="宋体" w:hAnsi="宋体" w:eastAsia="宋体" w:cs="Times New Roman"/>
          <w:color w:val="auto"/>
          <w:sz w:val="24"/>
          <w:szCs w:val="20"/>
          <w:lang w:val="zh-CN"/>
        </w:rPr>
        <w:t>投标人未按本章“质疑及提交”规定的时限、内容及方式进行质疑的，</w:t>
      </w:r>
      <w:r>
        <w:rPr>
          <w:rFonts w:hint="eastAsia" w:cs="Helvetica" w:asciiTheme="minorEastAsia" w:hAnsiTheme="minorEastAsia"/>
          <w:color w:val="auto"/>
          <w:kern w:val="0"/>
          <w:sz w:val="24"/>
          <w:lang w:val="zh-CN"/>
        </w:rPr>
        <w:t>采购人</w:t>
      </w:r>
      <w:r>
        <w:rPr>
          <w:rFonts w:hint="eastAsia" w:ascii="宋体" w:hAnsi="宋体" w:eastAsia="宋体" w:cs="Times New Roman"/>
          <w:color w:val="auto"/>
          <w:sz w:val="24"/>
          <w:szCs w:val="20"/>
          <w:lang w:val="zh-CN"/>
        </w:rPr>
        <w:t>不予受理。</w:t>
      </w:r>
    </w:p>
    <w:p>
      <w:pPr>
        <w:pStyle w:val="25"/>
        <w:ind w:firstLine="480"/>
        <w:rPr>
          <w:color w:val="auto"/>
          <w:lang w:val="zh-CN"/>
        </w:rPr>
      </w:pPr>
    </w:p>
    <w:p>
      <w:pPr>
        <w:pStyle w:val="25"/>
        <w:ind w:firstLine="0" w:firstLineChars="0"/>
        <w:rPr>
          <w:rFonts w:hAnsi="宋体" w:eastAsia="宋体" w:cstheme="minorBidi"/>
          <w:b/>
          <w:bCs/>
          <w:color w:val="auto"/>
          <w:kern w:val="44"/>
          <w:sz w:val="28"/>
          <w:szCs w:val="44"/>
        </w:rPr>
      </w:pPr>
      <w:bookmarkStart w:id="8" w:name="_Toc19698"/>
    </w:p>
    <w:p>
      <w:pPr>
        <w:rPr>
          <w:color w:val="auto"/>
        </w:rPr>
      </w:pPr>
    </w:p>
    <w:p>
      <w:pPr>
        <w:pStyle w:val="25"/>
        <w:ind w:firstLine="480"/>
        <w:rPr>
          <w:color w:val="auto"/>
        </w:rPr>
      </w:pPr>
    </w:p>
    <w:p>
      <w:pPr>
        <w:rPr>
          <w:color w:val="auto"/>
        </w:rPr>
      </w:pPr>
    </w:p>
    <w:p>
      <w:pPr>
        <w:rPr>
          <w:color w:val="auto"/>
        </w:rPr>
      </w:pPr>
    </w:p>
    <w:bookmarkEnd w:id="8"/>
    <w:p>
      <w:pPr>
        <w:spacing w:line="400" w:lineRule="atLeast"/>
        <w:jc w:val="center"/>
        <w:rPr>
          <w:rFonts w:ascii="宋体" w:hAnsi="宋体" w:eastAsia="宋体" w:cs="宋体"/>
          <w:b/>
          <w:bCs/>
          <w:color w:val="auto"/>
          <w:sz w:val="28"/>
          <w:szCs w:val="28"/>
        </w:rPr>
      </w:pPr>
    </w:p>
    <w:p>
      <w:pPr>
        <w:spacing w:line="400" w:lineRule="atLeast"/>
        <w:jc w:val="center"/>
        <w:rPr>
          <w:rFonts w:ascii="宋体" w:hAnsi="宋体" w:eastAsia="宋体" w:cs="宋体"/>
          <w:b/>
          <w:bCs/>
          <w:color w:val="auto"/>
          <w:sz w:val="28"/>
          <w:szCs w:val="28"/>
        </w:rPr>
      </w:pPr>
    </w:p>
    <w:p>
      <w:pPr>
        <w:rPr>
          <w:color w:val="auto"/>
        </w:rPr>
      </w:pPr>
    </w:p>
    <w:sectPr>
      <w:footerReference r:id="rId3" w:type="default"/>
      <w:footerReference r:id="rId4" w:type="even"/>
      <w:pgSz w:w="11906" w:h="16838"/>
      <w:pgMar w:top="930" w:right="1463" w:bottom="930" w:left="1463"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HKHDEU+ËÎÌå">
    <w:altName w:val="Segoe Print"/>
    <w:panose1 w:val="00000000000000000000"/>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Helvetica">
    <w:altName w:val="Arial"/>
    <w:panose1 w:val="020B0604020202020204"/>
    <w:charset w:val="00"/>
    <w:family w:val="swiss"/>
    <w:pitch w:val="default"/>
    <w:sig w:usb0="00000000" w:usb1="00000000" w:usb2="00000009" w:usb3="00000000" w:csb0="000001FF" w:csb1="00000000"/>
  </w:font>
  <w:font w:name="NVKPFK+ËÎÌå">
    <w:altName w:val="Segoe Print"/>
    <w:panose1 w:val="00000000000000000000"/>
    <w:charset w:val="01"/>
    <w:family w:val="auto"/>
    <w:pitch w:val="default"/>
    <w:sig w:usb0="00000000" w:usb1="00000000" w:usb2="01010101" w:usb3="01010101" w:csb0="01010101" w:csb1="01010101"/>
  </w:font>
  <w:font w:name="MDKMOJ+ËÎÌå">
    <w:altName w:val="Segoe Print"/>
    <w:panose1 w:val="00000000000000000000"/>
    <w:charset w:val="01"/>
    <w:family w:val="auto"/>
    <w:pitch w:val="default"/>
    <w:sig w:usb0="00000000" w:usb1="00000000" w:usb2="01010101" w:usb3="01010101" w:csb0="01010101" w:csb1="010101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29</w:t>
    </w:r>
    <w:r>
      <w:rPr>
        <w:lang w:val="zh-CN"/>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1"/>
      </w:rPr>
    </w:pPr>
    <w:r>
      <w:rPr>
        <w:rStyle w:val="21"/>
      </w:rPr>
      <w:fldChar w:fldCharType="begin"/>
    </w:r>
    <w:r>
      <w:rPr>
        <w:rStyle w:val="21"/>
      </w:rPr>
      <w:instrText xml:space="preserve">PAGE  </w:instrText>
    </w:r>
    <w:r>
      <w:rPr>
        <w:rStyle w:val="21"/>
      </w:rPr>
      <w:fldChar w:fldCharType="end"/>
    </w:r>
  </w:p>
  <w:p>
    <w:pPr>
      <w:pStyle w:val="11"/>
      <w:ind w:right="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k2NDM5NDkyMzZiYTlmMGM5Y2MxMTQ1Mjg3NjQ4NDQifQ=="/>
  </w:docVars>
  <w:rsids>
    <w:rsidRoot w:val="4E5673FC"/>
    <w:rsid w:val="000021AE"/>
    <w:rsid w:val="0000273E"/>
    <w:rsid w:val="000037D1"/>
    <w:rsid w:val="00003917"/>
    <w:rsid w:val="00003BDA"/>
    <w:rsid w:val="00004310"/>
    <w:rsid w:val="000132A8"/>
    <w:rsid w:val="00016C16"/>
    <w:rsid w:val="00016F6C"/>
    <w:rsid w:val="00017593"/>
    <w:rsid w:val="00017AC7"/>
    <w:rsid w:val="0002111B"/>
    <w:rsid w:val="00023143"/>
    <w:rsid w:val="0003019A"/>
    <w:rsid w:val="00030749"/>
    <w:rsid w:val="00031FF2"/>
    <w:rsid w:val="00032425"/>
    <w:rsid w:val="000327F5"/>
    <w:rsid w:val="00032B9E"/>
    <w:rsid w:val="00033463"/>
    <w:rsid w:val="000334CC"/>
    <w:rsid w:val="00034422"/>
    <w:rsid w:val="000346DB"/>
    <w:rsid w:val="00034881"/>
    <w:rsid w:val="00037B4D"/>
    <w:rsid w:val="00042DB9"/>
    <w:rsid w:val="00044235"/>
    <w:rsid w:val="000448DF"/>
    <w:rsid w:val="00044DC8"/>
    <w:rsid w:val="00045BFE"/>
    <w:rsid w:val="000461B6"/>
    <w:rsid w:val="0004624D"/>
    <w:rsid w:val="0005259E"/>
    <w:rsid w:val="00053344"/>
    <w:rsid w:val="00054AF5"/>
    <w:rsid w:val="00056F6B"/>
    <w:rsid w:val="00057AAB"/>
    <w:rsid w:val="000600DE"/>
    <w:rsid w:val="00060CAF"/>
    <w:rsid w:val="00064946"/>
    <w:rsid w:val="00067212"/>
    <w:rsid w:val="00070F8F"/>
    <w:rsid w:val="000719B4"/>
    <w:rsid w:val="00071EE4"/>
    <w:rsid w:val="00073E63"/>
    <w:rsid w:val="00074441"/>
    <w:rsid w:val="00077E05"/>
    <w:rsid w:val="000805D0"/>
    <w:rsid w:val="00080EFC"/>
    <w:rsid w:val="00082AF1"/>
    <w:rsid w:val="00083FF1"/>
    <w:rsid w:val="00085D9D"/>
    <w:rsid w:val="00087027"/>
    <w:rsid w:val="00091529"/>
    <w:rsid w:val="00091AA2"/>
    <w:rsid w:val="000939F4"/>
    <w:rsid w:val="000951B5"/>
    <w:rsid w:val="0009776A"/>
    <w:rsid w:val="000977F4"/>
    <w:rsid w:val="000A076D"/>
    <w:rsid w:val="000A092F"/>
    <w:rsid w:val="000A5F47"/>
    <w:rsid w:val="000A7186"/>
    <w:rsid w:val="000A724A"/>
    <w:rsid w:val="000B0302"/>
    <w:rsid w:val="000B064D"/>
    <w:rsid w:val="000B0EC1"/>
    <w:rsid w:val="000B2A79"/>
    <w:rsid w:val="000B65B4"/>
    <w:rsid w:val="000B7A0E"/>
    <w:rsid w:val="000C11FE"/>
    <w:rsid w:val="000C213D"/>
    <w:rsid w:val="000C2AD7"/>
    <w:rsid w:val="000C2E9D"/>
    <w:rsid w:val="000C3F3E"/>
    <w:rsid w:val="000C4426"/>
    <w:rsid w:val="000D103D"/>
    <w:rsid w:val="000D183F"/>
    <w:rsid w:val="000D3381"/>
    <w:rsid w:val="000D4163"/>
    <w:rsid w:val="000D5E9F"/>
    <w:rsid w:val="000D699D"/>
    <w:rsid w:val="000E0F9A"/>
    <w:rsid w:val="000E1E31"/>
    <w:rsid w:val="000E1EF5"/>
    <w:rsid w:val="000E2B1D"/>
    <w:rsid w:val="000E2D71"/>
    <w:rsid w:val="000E2E17"/>
    <w:rsid w:val="000E3D31"/>
    <w:rsid w:val="000E455D"/>
    <w:rsid w:val="000E5891"/>
    <w:rsid w:val="000E7035"/>
    <w:rsid w:val="000E7FA7"/>
    <w:rsid w:val="000F0DBF"/>
    <w:rsid w:val="000F1841"/>
    <w:rsid w:val="000F234B"/>
    <w:rsid w:val="000F3266"/>
    <w:rsid w:val="000F6BC0"/>
    <w:rsid w:val="001007DC"/>
    <w:rsid w:val="00101065"/>
    <w:rsid w:val="001017DD"/>
    <w:rsid w:val="00101A76"/>
    <w:rsid w:val="00102747"/>
    <w:rsid w:val="001030A7"/>
    <w:rsid w:val="00107152"/>
    <w:rsid w:val="001117A7"/>
    <w:rsid w:val="00111A35"/>
    <w:rsid w:val="00111F76"/>
    <w:rsid w:val="0011311E"/>
    <w:rsid w:val="0011314D"/>
    <w:rsid w:val="00120C26"/>
    <w:rsid w:val="00120E0F"/>
    <w:rsid w:val="00122396"/>
    <w:rsid w:val="001225F5"/>
    <w:rsid w:val="001246B8"/>
    <w:rsid w:val="00127AEA"/>
    <w:rsid w:val="00130CE8"/>
    <w:rsid w:val="0013133B"/>
    <w:rsid w:val="00133067"/>
    <w:rsid w:val="0013307E"/>
    <w:rsid w:val="0013590B"/>
    <w:rsid w:val="00141165"/>
    <w:rsid w:val="001427D2"/>
    <w:rsid w:val="00147463"/>
    <w:rsid w:val="00147A72"/>
    <w:rsid w:val="0015082B"/>
    <w:rsid w:val="001520D9"/>
    <w:rsid w:val="00156E1B"/>
    <w:rsid w:val="00161AB0"/>
    <w:rsid w:val="00163CEF"/>
    <w:rsid w:val="00164588"/>
    <w:rsid w:val="00171C0F"/>
    <w:rsid w:val="0017374B"/>
    <w:rsid w:val="00174E1B"/>
    <w:rsid w:val="00175585"/>
    <w:rsid w:val="00177877"/>
    <w:rsid w:val="00177C43"/>
    <w:rsid w:val="001805DB"/>
    <w:rsid w:val="00182C28"/>
    <w:rsid w:val="00183708"/>
    <w:rsid w:val="0018401A"/>
    <w:rsid w:val="00185D2E"/>
    <w:rsid w:val="001862F1"/>
    <w:rsid w:val="001913E7"/>
    <w:rsid w:val="0019226E"/>
    <w:rsid w:val="001943B3"/>
    <w:rsid w:val="00197B48"/>
    <w:rsid w:val="001A0AB2"/>
    <w:rsid w:val="001A1CF8"/>
    <w:rsid w:val="001A25F2"/>
    <w:rsid w:val="001B00B9"/>
    <w:rsid w:val="001B49D6"/>
    <w:rsid w:val="001B4C86"/>
    <w:rsid w:val="001B5688"/>
    <w:rsid w:val="001B6E99"/>
    <w:rsid w:val="001B7CFC"/>
    <w:rsid w:val="001C030F"/>
    <w:rsid w:val="001C09CF"/>
    <w:rsid w:val="001C250E"/>
    <w:rsid w:val="001C4E73"/>
    <w:rsid w:val="001C69B3"/>
    <w:rsid w:val="001C6D89"/>
    <w:rsid w:val="001D04D4"/>
    <w:rsid w:val="001D0508"/>
    <w:rsid w:val="001D0F73"/>
    <w:rsid w:val="001D1315"/>
    <w:rsid w:val="001D1908"/>
    <w:rsid w:val="001D1CA9"/>
    <w:rsid w:val="001D283F"/>
    <w:rsid w:val="001D4DC5"/>
    <w:rsid w:val="001D561D"/>
    <w:rsid w:val="001D56F6"/>
    <w:rsid w:val="001E04B8"/>
    <w:rsid w:val="001E0F5A"/>
    <w:rsid w:val="001E2ACB"/>
    <w:rsid w:val="001E2CA9"/>
    <w:rsid w:val="001E3143"/>
    <w:rsid w:val="001E3178"/>
    <w:rsid w:val="001E33A1"/>
    <w:rsid w:val="001E551B"/>
    <w:rsid w:val="001E55DD"/>
    <w:rsid w:val="001F0325"/>
    <w:rsid w:val="001F0504"/>
    <w:rsid w:val="001F15EA"/>
    <w:rsid w:val="001F2E94"/>
    <w:rsid w:val="001F3C5C"/>
    <w:rsid w:val="001F4031"/>
    <w:rsid w:val="002011BB"/>
    <w:rsid w:val="00203724"/>
    <w:rsid w:val="002043C7"/>
    <w:rsid w:val="0020507A"/>
    <w:rsid w:val="00206586"/>
    <w:rsid w:val="0020733A"/>
    <w:rsid w:val="00207B7F"/>
    <w:rsid w:val="002102A1"/>
    <w:rsid w:val="00210FC6"/>
    <w:rsid w:val="002118C0"/>
    <w:rsid w:val="00213188"/>
    <w:rsid w:val="00217E45"/>
    <w:rsid w:val="00222B75"/>
    <w:rsid w:val="00226208"/>
    <w:rsid w:val="0023051F"/>
    <w:rsid w:val="00230CB3"/>
    <w:rsid w:val="00230F10"/>
    <w:rsid w:val="002342C3"/>
    <w:rsid w:val="00234340"/>
    <w:rsid w:val="00236D50"/>
    <w:rsid w:val="002415DC"/>
    <w:rsid w:val="00241B93"/>
    <w:rsid w:val="00243574"/>
    <w:rsid w:val="00245765"/>
    <w:rsid w:val="00246255"/>
    <w:rsid w:val="0025372F"/>
    <w:rsid w:val="0025599B"/>
    <w:rsid w:val="00256402"/>
    <w:rsid w:val="002631E2"/>
    <w:rsid w:val="0026366A"/>
    <w:rsid w:val="002658F0"/>
    <w:rsid w:val="00265E24"/>
    <w:rsid w:val="00265F91"/>
    <w:rsid w:val="002733F0"/>
    <w:rsid w:val="0027470E"/>
    <w:rsid w:val="00275957"/>
    <w:rsid w:val="00275D17"/>
    <w:rsid w:val="00276A88"/>
    <w:rsid w:val="00277184"/>
    <w:rsid w:val="00277434"/>
    <w:rsid w:val="002777F6"/>
    <w:rsid w:val="002839C9"/>
    <w:rsid w:val="00284C95"/>
    <w:rsid w:val="00286608"/>
    <w:rsid w:val="0028685E"/>
    <w:rsid w:val="00287599"/>
    <w:rsid w:val="00295E74"/>
    <w:rsid w:val="00297952"/>
    <w:rsid w:val="002A0311"/>
    <w:rsid w:val="002A1C5C"/>
    <w:rsid w:val="002A3FA8"/>
    <w:rsid w:val="002A512E"/>
    <w:rsid w:val="002B44C8"/>
    <w:rsid w:val="002B4767"/>
    <w:rsid w:val="002B4D6E"/>
    <w:rsid w:val="002B6830"/>
    <w:rsid w:val="002C0711"/>
    <w:rsid w:val="002C1D55"/>
    <w:rsid w:val="002C67B6"/>
    <w:rsid w:val="002C7B06"/>
    <w:rsid w:val="002D0C50"/>
    <w:rsid w:val="002D0C7F"/>
    <w:rsid w:val="002D1934"/>
    <w:rsid w:val="002D1F61"/>
    <w:rsid w:val="002D3036"/>
    <w:rsid w:val="002D4B1C"/>
    <w:rsid w:val="002D4EB8"/>
    <w:rsid w:val="002D5044"/>
    <w:rsid w:val="002D5116"/>
    <w:rsid w:val="002D61C9"/>
    <w:rsid w:val="002D646F"/>
    <w:rsid w:val="002E28D2"/>
    <w:rsid w:val="002E2ED6"/>
    <w:rsid w:val="002E403B"/>
    <w:rsid w:val="002E4ED4"/>
    <w:rsid w:val="002E5C63"/>
    <w:rsid w:val="002E704E"/>
    <w:rsid w:val="002E78AB"/>
    <w:rsid w:val="002F03A1"/>
    <w:rsid w:val="002F2D0E"/>
    <w:rsid w:val="002F3A25"/>
    <w:rsid w:val="002F5272"/>
    <w:rsid w:val="002F5BBE"/>
    <w:rsid w:val="00300492"/>
    <w:rsid w:val="00300C9B"/>
    <w:rsid w:val="00301357"/>
    <w:rsid w:val="00301C9B"/>
    <w:rsid w:val="00302122"/>
    <w:rsid w:val="00302FD1"/>
    <w:rsid w:val="00303353"/>
    <w:rsid w:val="00304299"/>
    <w:rsid w:val="0030583C"/>
    <w:rsid w:val="0030681B"/>
    <w:rsid w:val="0030692B"/>
    <w:rsid w:val="00313340"/>
    <w:rsid w:val="003159EE"/>
    <w:rsid w:val="00315A46"/>
    <w:rsid w:val="00316648"/>
    <w:rsid w:val="0032037F"/>
    <w:rsid w:val="003206DD"/>
    <w:rsid w:val="00321E49"/>
    <w:rsid w:val="0032207C"/>
    <w:rsid w:val="003237A1"/>
    <w:rsid w:val="00323C10"/>
    <w:rsid w:val="00325245"/>
    <w:rsid w:val="0032656C"/>
    <w:rsid w:val="00326756"/>
    <w:rsid w:val="003268E8"/>
    <w:rsid w:val="00331B73"/>
    <w:rsid w:val="003321E4"/>
    <w:rsid w:val="00333022"/>
    <w:rsid w:val="003330FD"/>
    <w:rsid w:val="003349EA"/>
    <w:rsid w:val="00334CCA"/>
    <w:rsid w:val="003353CC"/>
    <w:rsid w:val="00336629"/>
    <w:rsid w:val="00342169"/>
    <w:rsid w:val="00342F60"/>
    <w:rsid w:val="00344BAB"/>
    <w:rsid w:val="00345C52"/>
    <w:rsid w:val="0034744D"/>
    <w:rsid w:val="003510D5"/>
    <w:rsid w:val="003526A4"/>
    <w:rsid w:val="00352CD0"/>
    <w:rsid w:val="00354905"/>
    <w:rsid w:val="00354F75"/>
    <w:rsid w:val="0036282D"/>
    <w:rsid w:val="00363024"/>
    <w:rsid w:val="00366336"/>
    <w:rsid w:val="003708D3"/>
    <w:rsid w:val="00370BB4"/>
    <w:rsid w:val="00372A58"/>
    <w:rsid w:val="00373820"/>
    <w:rsid w:val="00382F6F"/>
    <w:rsid w:val="003833C6"/>
    <w:rsid w:val="003838BB"/>
    <w:rsid w:val="003917FB"/>
    <w:rsid w:val="00393720"/>
    <w:rsid w:val="003937DF"/>
    <w:rsid w:val="003A4F22"/>
    <w:rsid w:val="003A5243"/>
    <w:rsid w:val="003A5888"/>
    <w:rsid w:val="003A6F5E"/>
    <w:rsid w:val="003A7DD3"/>
    <w:rsid w:val="003B0069"/>
    <w:rsid w:val="003B0535"/>
    <w:rsid w:val="003B0E8A"/>
    <w:rsid w:val="003B3EDA"/>
    <w:rsid w:val="003B4A99"/>
    <w:rsid w:val="003B513D"/>
    <w:rsid w:val="003B7151"/>
    <w:rsid w:val="003B7156"/>
    <w:rsid w:val="003B7B04"/>
    <w:rsid w:val="003B7B32"/>
    <w:rsid w:val="003B7D1F"/>
    <w:rsid w:val="003C046F"/>
    <w:rsid w:val="003C2964"/>
    <w:rsid w:val="003C3846"/>
    <w:rsid w:val="003C48CC"/>
    <w:rsid w:val="003C4DA5"/>
    <w:rsid w:val="003C52B2"/>
    <w:rsid w:val="003C5A11"/>
    <w:rsid w:val="003C655F"/>
    <w:rsid w:val="003C77E1"/>
    <w:rsid w:val="003C7E56"/>
    <w:rsid w:val="003D43B4"/>
    <w:rsid w:val="003D44BE"/>
    <w:rsid w:val="003D47AF"/>
    <w:rsid w:val="003D5181"/>
    <w:rsid w:val="003D756D"/>
    <w:rsid w:val="003D7D5B"/>
    <w:rsid w:val="003E1F06"/>
    <w:rsid w:val="003E6FED"/>
    <w:rsid w:val="003E7AF8"/>
    <w:rsid w:val="003F3B59"/>
    <w:rsid w:val="003F43B4"/>
    <w:rsid w:val="003F684C"/>
    <w:rsid w:val="003F7949"/>
    <w:rsid w:val="00400C18"/>
    <w:rsid w:val="00401608"/>
    <w:rsid w:val="00403C52"/>
    <w:rsid w:val="00404217"/>
    <w:rsid w:val="0040536D"/>
    <w:rsid w:val="00405BB9"/>
    <w:rsid w:val="00407D8B"/>
    <w:rsid w:val="004100B7"/>
    <w:rsid w:val="0041147C"/>
    <w:rsid w:val="004134C3"/>
    <w:rsid w:val="00420A7A"/>
    <w:rsid w:val="004234F6"/>
    <w:rsid w:val="00424B55"/>
    <w:rsid w:val="004309EB"/>
    <w:rsid w:val="00432ED3"/>
    <w:rsid w:val="0043363A"/>
    <w:rsid w:val="00435DA9"/>
    <w:rsid w:val="00436188"/>
    <w:rsid w:val="0043701D"/>
    <w:rsid w:val="004375D5"/>
    <w:rsid w:val="00441223"/>
    <w:rsid w:val="00441502"/>
    <w:rsid w:val="004432E2"/>
    <w:rsid w:val="00444EB0"/>
    <w:rsid w:val="00445289"/>
    <w:rsid w:val="004461E2"/>
    <w:rsid w:val="0044731D"/>
    <w:rsid w:val="00447447"/>
    <w:rsid w:val="00447F47"/>
    <w:rsid w:val="004519C1"/>
    <w:rsid w:val="0045368E"/>
    <w:rsid w:val="004537DE"/>
    <w:rsid w:val="0045768B"/>
    <w:rsid w:val="00461BE6"/>
    <w:rsid w:val="004623AD"/>
    <w:rsid w:val="004631B2"/>
    <w:rsid w:val="00466458"/>
    <w:rsid w:val="00466927"/>
    <w:rsid w:val="004728FF"/>
    <w:rsid w:val="00472BBA"/>
    <w:rsid w:val="004749D2"/>
    <w:rsid w:val="00474BB6"/>
    <w:rsid w:val="00476095"/>
    <w:rsid w:val="00477C47"/>
    <w:rsid w:val="00483360"/>
    <w:rsid w:val="004842A7"/>
    <w:rsid w:val="00485EE9"/>
    <w:rsid w:val="00487217"/>
    <w:rsid w:val="00487359"/>
    <w:rsid w:val="00490806"/>
    <w:rsid w:val="00491198"/>
    <w:rsid w:val="004930BD"/>
    <w:rsid w:val="004939FC"/>
    <w:rsid w:val="0049500A"/>
    <w:rsid w:val="0049509B"/>
    <w:rsid w:val="004962DB"/>
    <w:rsid w:val="00496750"/>
    <w:rsid w:val="004969C8"/>
    <w:rsid w:val="00496CB6"/>
    <w:rsid w:val="00497576"/>
    <w:rsid w:val="004A12F5"/>
    <w:rsid w:val="004A2376"/>
    <w:rsid w:val="004A383F"/>
    <w:rsid w:val="004A59B4"/>
    <w:rsid w:val="004A6620"/>
    <w:rsid w:val="004A6F42"/>
    <w:rsid w:val="004B1E6B"/>
    <w:rsid w:val="004B206E"/>
    <w:rsid w:val="004B2825"/>
    <w:rsid w:val="004B2DAA"/>
    <w:rsid w:val="004B32B1"/>
    <w:rsid w:val="004B5F62"/>
    <w:rsid w:val="004C072D"/>
    <w:rsid w:val="004C0DD0"/>
    <w:rsid w:val="004C2910"/>
    <w:rsid w:val="004C3757"/>
    <w:rsid w:val="004C783A"/>
    <w:rsid w:val="004C7A3F"/>
    <w:rsid w:val="004D1DA1"/>
    <w:rsid w:val="004D4249"/>
    <w:rsid w:val="004E015C"/>
    <w:rsid w:val="004E0EAF"/>
    <w:rsid w:val="004E187C"/>
    <w:rsid w:val="004E1D45"/>
    <w:rsid w:val="004E2087"/>
    <w:rsid w:val="004E3B1B"/>
    <w:rsid w:val="004E4BE2"/>
    <w:rsid w:val="004E5791"/>
    <w:rsid w:val="004E6083"/>
    <w:rsid w:val="004E7497"/>
    <w:rsid w:val="004F0899"/>
    <w:rsid w:val="004F11A5"/>
    <w:rsid w:val="004F31D1"/>
    <w:rsid w:val="004F3EA4"/>
    <w:rsid w:val="004F5051"/>
    <w:rsid w:val="004F5DB7"/>
    <w:rsid w:val="004F6B96"/>
    <w:rsid w:val="004F7392"/>
    <w:rsid w:val="004F76A2"/>
    <w:rsid w:val="00500CBD"/>
    <w:rsid w:val="00502EB8"/>
    <w:rsid w:val="005039B9"/>
    <w:rsid w:val="00503B73"/>
    <w:rsid w:val="0050490B"/>
    <w:rsid w:val="00504B97"/>
    <w:rsid w:val="005102A2"/>
    <w:rsid w:val="00513763"/>
    <w:rsid w:val="00513F40"/>
    <w:rsid w:val="0051480F"/>
    <w:rsid w:val="00514E8F"/>
    <w:rsid w:val="00516894"/>
    <w:rsid w:val="00516AA1"/>
    <w:rsid w:val="005170D9"/>
    <w:rsid w:val="00517A09"/>
    <w:rsid w:val="00517E7B"/>
    <w:rsid w:val="00520C97"/>
    <w:rsid w:val="005226C0"/>
    <w:rsid w:val="0052312A"/>
    <w:rsid w:val="005243DC"/>
    <w:rsid w:val="0052491C"/>
    <w:rsid w:val="00525A8C"/>
    <w:rsid w:val="00531478"/>
    <w:rsid w:val="00532B60"/>
    <w:rsid w:val="00534CC2"/>
    <w:rsid w:val="00534D20"/>
    <w:rsid w:val="00536426"/>
    <w:rsid w:val="00536A19"/>
    <w:rsid w:val="00537A31"/>
    <w:rsid w:val="00537CD6"/>
    <w:rsid w:val="0054022D"/>
    <w:rsid w:val="00540662"/>
    <w:rsid w:val="00543ED5"/>
    <w:rsid w:val="005443A9"/>
    <w:rsid w:val="00546FA9"/>
    <w:rsid w:val="00551CD1"/>
    <w:rsid w:val="0055217B"/>
    <w:rsid w:val="005521CA"/>
    <w:rsid w:val="00555AC6"/>
    <w:rsid w:val="00555BBC"/>
    <w:rsid w:val="00555BDF"/>
    <w:rsid w:val="005603BC"/>
    <w:rsid w:val="005609E2"/>
    <w:rsid w:val="00561FE6"/>
    <w:rsid w:val="00563299"/>
    <w:rsid w:val="00565EC1"/>
    <w:rsid w:val="00566137"/>
    <w:rsid w:val="00566EAE"/>
    <w:rsid w:val="005678F4"/>
    <w:rsid w:val="00572035"/>
    <w:rsid w:val="0057239E"/>
    <w:rsid w:val="005768B0"/>
    <w:rsid w:val="0057703B"/>
    <w:rsid w:val="00580396"/>
    <w:rsid w:val="00582F59"/>
    <w:rsid w:val="00583480"/>
    <w:rsid w:val="0058378F"/>
    <w:rsid w:val="005848FC"/>
    <w:rsid w:val="00585E71"/>
    <w:rsid w:val="00586260"/>
    <w:rsid w:val="005876F8"/>
    <w:rsid w:val="00590092"/>
    <w:rsid w:val="00591B5F"/>
    <w:rsid w:val="0059301B"/>
    <w:rsid w:val="005952DA"/>
    <w:rsid w:val="00595B4A"/>
    <w:rsid w:val="0059624F"/>
    <w:rsid w:val="0059634A"/>
    <w:rsid w:val="00596E40"/>
    <w:rsid w:val="005A078B"/>
    <w:rsid w:val="005A2E2A"/>
    <w:rsid w:val="005A3229"/>
    <w:rsid w:val="005A403E"/>
    <w:rsid w:val="005A43F3"/>
    <w:rsid w:val="005B21EC"/>
    <w:rsid w:val="005B2EF0"/>
    <w:rsid w:val="005B3D78"/>
    <w:rsid w:val="005B66AE"/>
    <w:rsid w:val="005B6921"/>
    <w:rsid w:val="005B7760"/>
    <w:rsid w:val="005B7E9C"/>
    <w:rsid w:val="005C0B9E"/>
    <w:rsid w:val="005C218E"/>
    <w:rsid w:val="005C312A"/>
    <w:rsid w:val="005C3AAF"/>
    <w:rsid w:val="005C4E65"/>
    <w:rsid w:val="005C645A"/>
    <w:rsid w:val="005C6B81"/>
    <w:rsid w:val="005C77B5"/>
    <w:rsid w:val="005D16B1"/>
    <w:rsid w:val="005D1863"/>
    <w:rsid w:val="005D1C75"/>
    <w:rsid w:val="005D3675"/>
    <w:rsid w:val="005D72BC"/>
    <w:rsid w:val="005E1F12"/>
    <w:rsid w:val="005E45F8"/>
    <w:rsid w:val="005F2174"/>
    <w:rsid w:val="005F2B90"/>
    <w:rsid w:val="005F579C"/>
    <w:rsid w:val="005F603F"/>
    <w:rsid w:val="00600215"/>
    <w:rsid w:val="00603F19"/>
    <w:rsid w:val="006046FB"/>
    <w:rsid w:val="00604E6A"/>
    <w:rsid w:val="0060550E"/>
    <w:rsid w:val="00605C42"/>
    <w:rsid w:val="0060653F"/>
    <w:rsid w:val="00606863"/>
    <w:rsid w:val="00612403"/>
    <w:rsid w:val="00612EF8"/>
    <w:rsid w:val="006131D0"/>
    <w:rsid w:val="006136B0"/>
    <w:rsid w:val="00614071"/>
    <w:rsid w:val="00614426"/>
    <w:rsid w:val="006158EB"/>
    <w:rsid w:val="00617055"/>
    <w:rsid w:val="00620393"/>
    <w:rsid w:val="00621919"/>
    <w:rsid w:val="00621FF5"/>
    <w:rsid w:val="0062204C"/>
    <w:rsid w:val="0062265F"/>
    <w:rsid w:val="00624BAA"/>
    <w:rsid w:val="00624C38"/>
    <w:rsid w:val="006250D5"/>
    <w:rsid w:val="0062651F"/>
    <w:rsid w:val="00631250"/>
    <w:rsid w:val="00633389"/>
    <w:rsid w:val="0063413F"/>
    <w:rsid w:val="0063580D"/>
    <w:rsid w:val="00640F37"/>
    <w:rsid w:val="00641EE4"/>
    <w:rsid w:val="00642558"/>
    <w:rsid w:val="006430A3"/>
    <w:rsid w:val="0064539B"/>
    <w:rsid w:val="00645F98"/>
    <w:rsid w:val="006466B5"/>
    <w:rsid w:val="00650CDB"/>
    <w:rsid w:val="006528B0"/>
    <w:rsid w:val="006532E3"/>
    <w:rsid w:val="00654261"/>
    <w:rsid w:val="00654BDF"/>
    <w:rsid w:val="00655E40"/>
    <w:rsid w:val="006576DE"/>
    <w:rsid w:val="00662F31"/>
    <w:rsid w:val="0066479B"/>
    <w:rsid w:val="00664975"/>
    <w:rsid w:val="00665340"/>
    <w:rsid w:val="006660EE"/>
    <w:rsid w:val="00667B63"/>
    <w:rsid w:val="00670C94"/>
    <w:rsid w:val="00671D8E"/>
    <w:rsid w:val="00672444"/>
    <w:rsid w:val="00673E6A"/>
    <w:rsid w:val="00674948"/>
    <w:rsid w:val="00676371"/>
    <w:rsid w:val="00680F0F"/>
    <w:rsid w:val="00681AFE"/>
    <w:rsid w:val="006828CD"/>
    <w:rsid w:val="00684551"/>
    <w:rsid w:val="00687339"/>
    <w:rsid w:val="006904B6"/>
    <w:rsid w:val="00690A38"/>
    <w:rsid w:val="006929E0"/>
    <w:rsid w:val="00692E88"/>
    <w:rsid w:val="0069518B"/>
    <w:rsid w:val="00695478"/>
    <w:rsid w:val="00695F99"/>
    <w:rsid w:val="0069676C"/>
    <w:rsid w:val="006970DD"/>
    <w:rsid w:val="00697717"/>
    <w:rsid w:val="006A0C2A"/>
    <w:rsid w:val="006A0D0C"/>
    <w:rsid w:val="006A172E"/>
    <w:rsid w:val="006A2308"/>
    <w:rsid w:val="006A44E6"/>
    <w:rsid w:val="006A7462"/>
    <w:rsid w:val="006B0D74"/>
    <w:rsid w:val="006B268D"/>
    <w:rsid w:val="006B2D47"/>
    <w:rsid w:val="006C0C6A"/>
    <w:rsid w:val="006C24A1"/>
    <w:rsid w:val="006C2CD1"/>
    <w:rsid w:val="006C3065"/>
    <w:rsid w:val="006C5F5F"/>
    <w:rsid w:val="006C7947"/>
    <w:rsid w:val="006D1A8F"/>
    <w:rsid w:val="006D2796"/>
    <w:rsid w:val="006D2943"/>
    <w:rsid w:val="006D3615"/>
    <w:rsid w:val="006D5710"/>
    <w:rsid w:val="006D637E"/>
    <w:rsid w:val="006D6438"/>
    <w:rsid w:val="006D7197"/>
    <w:rsid w:val="006E1DFB"/>
    <w:rsid w:val="006E395E"/>
    <w:rsid w:val="006F13B1"/>
    <w:rsid w:val="006F1CC6"/>
    <w:rsid w:val="006F41D8"/>
    <w:rsid w:val="006F4468"/>
    <w:rsid w:val="006F735E"/>
    <w:rsid w:val="006F7629"/>
    <w:rsid w:val="00700095"/>
    <w:rsid w:val="0070250E"/>
    <w:rsid w:val="007028C0"/>
    <w:rsid w:val="00702F0D"/>
    <w:rsid w:val="0070388E"/>
    <w:rsid w:val="00703D2F"/>
    <w:rsid w:val="00705106"/>
    <w:rsid w:val="007056C3"/>
    <w:rsid w:val="00706B58"/>
    <w:rsid w:val="00707CA9"/>
    <w:rsid w:val="0071216B"/>
    <w:rsid w:val="00715EC9"/>
    <w:rsid w:val="00717857"/>
    <w:rsid w:val="007178A3"/>
    <w:rsid w:val="007207ED"/>
    <w:rsid w:val="00722FF9"/>
    <w:rsid w:val="0072501A"/>
    <w:rsid w:val="007262E6"/>
    <w:rsid w:val="00730A96"/>
    <w:rsid w:val="00732E36"/>
    <w:rsid w:val="007368BB"/>
    <w:rsid w:val="00740167"/>
    <w:rsid w:val="00740A8F"/>
    <w:rsid w:val="0074153E"/>
    <w:rsid w:val="0074305A"/>
    <w:rsid w:val="007430A9"/>
    <w:rsid w:val="00745297"/>
    <w:rsid w:val="00745B9A"/>
    <w:rsid w:val="00745CCD"/>
    <w:rsid w:val="00746FFA"/>
    <w:rsid w:val="00747D4C"/>
    <w:rsid w:val="007509EB"/>
    <w:rsid w:val="00756384"/>
    <w:rsid w:val="00757004"/>
    <w:rsid w:val="00757D46"/>
    <w:rsid w:val="0076036E"/>
    <w:rsid w:val="007603F6"/>
    <w:rsid w:val="00761774"/>
    <w:rsid w:val="0076249E"/>
    <w:rsid w:val="0076292B"/>
    <w:rsid w:val="00765631"/>
    <w:rsid w:val="00765778"/>
    <w:rsid w:val="007676EA"/>
    <w:rsid w:val="00770652"/>
    <w:rsid w:val="0077130C"/>
    <w:rsid w:val="0077219E"/>
    <w:rsid w:val="00772378"/>
    <w:rsid w:val="007723D3"/>
    <w:rsid w:val="007724F6"/>
    <w:rsid w:val="0077312C"/>
    <w:rsid w:val="0077381D"/>
    <w:rsid w:val="00775747"/>
    <w:rsid w:val="00775C07"/>
    <w:rsid w:val="0077648E"/>
    <w:rsid w:val="007768D0"/>
    <w:rsid w:val="0077714C"/>
    <w:rsid w:val="00780ACE"/>
    <w:rsid w:val="00782D4F"/>
    <w:rsid w:val="00783F3F"/>
    <w:rsid w:val="007845B2"/>
    <w:rsid w:val="00792B35"/>
    <w:rsid w:val="00792F99"/>
    <w:rsid w:val="00793526"/>
    <w:rsid w:val="00794FA9"/>
    <w:rsid w:val="00795F43"/>
    <w:rsid w:val="0079646B"/>
    <w:rsid w:val="007976DE"/>
    <w:rsid w:val="007A096D"/>
    <w:rsid w:val="007A4433"/>
    <w:rsid w:val="007A51BA"/>
    <w:rsid w:val="007A7B8F"/>
    <w:rsid w:val="007B0B01"/>
    <w:rsid w:val="007B0BC4"/>
    <w:rsid w:val="007B1F18"/>
    <w:rsid w:val="007B2205"/>
    <w:rsid w:val="007B358F"/>
    <w:rsid w:val="007B3E48"/>
    <w:rsid w:val="007B430A"/>
    <w:rsid w:val="007B49B1"/>
    <w:rsid w:val="007B622E"/>
    <w:rsid w:val="007B6FFA"/>
    <w:rsid w:val="007C0070"/>
    <w:rsid w:val="007C2A3B"/>
    <w:rsid w:val="007C38BD"/>
    <w:rsid w:val="007C407A"/>
    <w:rsid w:val="007C4CDB"/>
    <w:rsid w:val="007C5F01"/>
    <w:rsid w:val="007C74ED"/>
    <w:rsid w:val="007D2EAD"/>
    <w:rsid w:val="007D3038"/>
    <w:rsid w:val="007D4734"/>
    <w:rsid w:val="007D5259"/>
    <w:rsid w:val="007D5CFF"/>
    <w:rsid w:val="007D7B69"/>
    <w:rsid w:val="007E03F2"/>
    <w:rsid w:val="007E0F41"/>
    <w:rsid w:val="007E13EF"/>
    <w:rsid w:val="007E3514"/>
    <w:rsid w:val="007E7F0B"/>
    <w:rsid w:val="007F0DA9"/>
    <w:rsid w:val="007F29E9"/>
    <w:rsid w:val="007F33B3"/>
    <w:rsid w:val="007F37F8"/>
    <w:rsid w:val="007F47C2"/>
    <w:rsid w:val="007F5FF9"/>
    <w:rsid w:val="007F698D"/>
    <w:rsid w:val="007F77A9"/>
    <w:rsid w:val="007F7FBC"/>
    <w:rsid w:val="00801BFE"/>
    <w:rsid w:val="00801DA4"/>
    <w:rsid w:val="00805087"/>
    <w:rsid w:val="00805445"/>
    <w:rsid w:val="00805EAD"/>
    <w:rsid w:val="008068B2"/>
    <w:rsid w:val="00807C7E"/>
    <w:rsid w:val="008126FA"/>
    <w:rsid w:val="0081355D"/>
    <w:rsid w:val="00815FE4"/>
    <w:rsid w:val="008160D7"/>
    <w:rsid w:val="008175E0"/>
    <w:rsid w:val="008212F8"/>
    <w:rsid w:val="00823FF3"/>
    <w:rsid w:val="00825FD9"/>
    <w:rsid w:val="00827A77"/>
    <w:rsid w:val="00831906"/>
    <w:rsid w:val="00831B9C"/>
    <w:rsid w:val="00832A0E"/>
    <w:rsid w:val="00833F13"/>
    <w:rsid w:val="00835885"/>
    <w:rsid w:val="00837EAC"/>
    <w:rsid w:val="008400F4"/>
    <w:rsid w:val="00841E43"/>
    <w:rsid w:val="0084254C"/>
    <w:rsid w:val="00843F89"/>
    <w:rsid w:val="00844014"/>
    <w:rsid w:val="00850988"/>
    <w:rsid w:val="0085567A"/>
    <w:rsid w:val="008569A7"/>
    <w:rsid w:val="00857054"/>
    <w:rsid w:val="00857C6B"/>
    <w:rsid w:val="008609AC"/>
    <w:rsid w:val="008629EF"/>
    <w:rsid w:val="00862E0B"/>
    <w:rsid w:val="00864BDD"/>
    <w:rsid w:val="00866173"/>
    <w:rsid w:val="00871795"/>
    <w:rsid w:val="00871A1C"/>
    <w:rsid w:val="00872243"/>
    <w:rsid w:val="0087268B"/>
    <w:rsid w:val="008726FF"/>
    <w:rsid w:val="00873801"/>
    <w:rsid w:val="0087433D"/>
    <w:rsid w:val="00880234"/>
    <w:rsid w:val="00881C9A"/>
    <w:rsid w:val="0088234A"/>
    <w:rsid w:val="00882E6C"/>
    <w:rsid w:val="00882F28"/>
    <w:rsid w:val="00885555"/>
    <w:rsid w:val="00885B14"/>
    <w:rsid w:val="00885D50"/>
    <w:rsid w:val="00886535"/>
    <w:rsid w:val="0089146B"/>
    <w:rsid w:val="00894603"/>
    <w:rsid w:val="00895846"/>
    <w:rsid w:val="00896D6C"/>
    <w:rsid w:val="00897601"/>
    <w:rsid w:val="00897D67"/>
    <w:rsid w:val="008A1A71"/>
    <w:rsid w:val="008A1CE2"/>
    <w:rsid w:val="008A1F54"/>
    <w:rsid w:val="008A3240"/>
    <w:rsid w:val="008A3F83"/>
    <w:rsid w:val="008A47E4"/>
    <w:rsid w:val="008A7EC2"/>
    <w:rsid w:val="008B237C"/>
    <w:rsid w:val="008B2C46"/>
    <w:rsid w:val="008B57F6"/>
    <w:rsid w:val="008B5D89"/>
    <w:rsid w:val="008B63D3"/>
    <w:rsid w:val="008C05D9"/>
    <w:rsid w:val="008C0C0E"/>
    <w:rsid w:val="008C2072"/>
    <w:rsid w:val="008C2449"/>
    <w:rsid w:val="008C314F"/>
    <w:rsid w:val="008C3264"/>
    <w:rsid w:val="008C48F6"/>
    <w:rsid w:val="008C59EF"/>
    <w:rsid w:val="008C6EFE"/>
    <w:rsid w:val="008C7CC5"/>
    <w:rsid w:val="008D01E7"/>
    <w:rsid w:val="008D13CA"/>
    <w:rsid w:val="008D3470"/>
    <w:rsid w:val="008E064B"/>
    <w:rsid w:val="008E12CE"/>
    <w:rsid w:val="008E1A75"/>
    <w:rsid w:val="008E2624"/>
    <w:rsid w:val="008E56F1"/>
    <w:rsid w:val="008F0D51"/>
    <w:rsid w:val="008F1A5D"/>
    <w:rsid w:val="008F2018"/>
    <w:rsid w:val="008F27EF"/>
    <w:rsid w:val="008F2D7C"/>
    <w:rsid w:val="008F33FF"/>
    <w:rsid w:val="008F4BC5"/>
    <w:rsid w:val="008F4CF4"/>
    <w:rsid w:val="008F7C63"/>
    <w:rsid w:val="00900E34"/>
    <w:rsid w:val="00901577"/>
    <w:rsid w:val="00903F9D"/>
    <w:rsid w:val="00904BF4"/>
    <w:rsid w:val="00910FE3"/>
    <w:rsid w:val="0091274C"/>
    <w:rsid w:val="00914019"/>
    <w:rsid w:val="00914301"/>
    <w:rsid w:val="00915C40"/>
    <w:rsid w:val="00921285"/>
    <w:rsid w:val="009258B2"/>
    <w:rsid w:val="00926AD3"/>
    <w:rsid w:val="00927938"/>
    <w:rsid w:val="009324D1"/>
    <w:rsid w:val="00933213"/>
    <w:rsid w:val="00933CDF"/>
    <w:rsid w:val="00935392"/>
    <w:rsid w:val="00937577"/>
    <w:rsid w:val="009377B4"/>
    <w:rsid w:val="00941555"/>
    <w:rsid w:val="009417AE"/>
    <w:rsid w:val="00947675"/>
    <w:rsid w:val="00951254"/>
    <w:rsid w:val="00952ACD"/>
    <w:rsid w:val="00954DDE"/>
    <w:rsid w:val="00955322"/>
    <w:rsid w:val="00955914"/>
    <w:rsid w:val="009578C6"/>
    <w:rsid w:val="00962291"/>
    <w:rsid w:val="00963830"/>
    <w:rsid w:val="00964312"/>
    <w:rsid w:val="00964B35"/>
    <w:rsid w:val="00964E1B"/>
    <w:rsid w:val="009654A8"/>
    <w:rsid w:val="009661C3"/>
    <w:rsid w:val="0096672B"/>
    <w:rsid w:val="0096714D"/>
    <w:rsid w:val="009707AD"/>
    <w:rsid w:val="009727FF"/>
    <w:rsid w:val="009728AB"/>
    <w:rsid w:val="00973B92"/>
    <w:rsid w:val="00974895"/>
    <w:rsid w:val="00976363"/>
    <w:rsid w:val="00976464"/>
    <w:rsid w:val="00976B9D"/>
    <w:rsid w:val="00976D04"/>
    <w:rsid w:val="00981003"/>
    <w:rsid w:val="00982E6D"/>
    <w:rsid w:val="0098493B"/>
    <w:rsid w:val="009920DD"/>
    <w:rsid w:val="00992F78"/>
    <w:rsid w:val="009940D7"/>
    <w:rsid w:val="0099539E"/>
    <w:rsid w:val="009969AF"/>
    <w:rsid w:val="00997D70"/>
    <w:rsid w:val="009A03D3"/>
    <w:rsid w:val="009A2B59"/>
    <w:rsid w:val="009A3E42"/>
    <w:rsid w:val="009A5A6A"/>
    <w:rsid w:val="009A5B84"/>
    <w:rsid w:val="009A5C98"/>
    <w:rsid w:val="009A6BF3"/>
    <w:rsid w:val="009B0AD2"/>
    <w:rsid w:val="009B1D93"/>
    <w:rsid w:val="009B2334"/>
    <w:rsid w:val="009B372D"/>
    <w:rsid w:val="009B3E12"/>
    <w:rsid w:val="009B5455"/>
    <w:rsid w:val="009C31B1"/>
    <w:rsid w:val="009C46BD"/>
    <w:rsid w:val="009C4C82"/>
    <w:rsid w:val="009C582D"/>
    <w:rsid w:val="009C757D"/>
    <w:rsid w:val="009C79B7"/>
    <w:rsid w:val="009D3240"/>
    <w:rsid w:val="009D6D00"/>
    <w:rsid w:val="009E240B"/>
    <w:rsid w:val="009E3E56"/>
    <w:rsid w:val="009E45F2"/>
    <w:rsid w:val="009E59ED"/>
    <w:rsid w:val="009F2561"/>
    <w:rsid w:val="009F31BB"/>
    <w:rsid w:val="009F4DEF"/>
    <w:rsid w:val="009F7E33"/>
    <w:rsid w:val="00A04547"/>
    <w:rsid w:val="00A05E52"/>
    <w:rsid w:val="00A064C1"/>
    <w:rsid w:val="00A06F87"/>
    <w:rsid w:val="00A104C6"/>
    <w:rsid w:val="00A1241E"/>
    <w:rsid w:val="00A12CEC"/>
    <w:rsid w:val="00A12FA3"/>
    <w:rsid w:val="00A1423A"/>
    <w:rsid w:val="00A15301"/>
    <w:rsid w:val="00A154E4"/>
    <w:rsid w:val="00A156F7"/>
    <w:rsid w:val="00A16928"/>
    <w:rsid w:val="00A16CE1"/>
    <w:rsid w:val="00A17210"/>
    <w:rsid w:val="00A17D88"/>
    <w:rsid w:val="00A201E2"/>
    <w:rsid w:val="00A21AFB"/>
    <w:rsid w:val="00A256B6"/>
    <w:rsid w:val="00A268E4"/>
    <w:rsid w:val="00A275D0"/>
    <w:rsid w:val="00A3424B"/>
    <w:rsid w:val="00A36BA4"/>
    <w:rsid w:val="00A4207F"/>
    <w:rsid w:val="00A431D0"/>
    <w:rsid w:val="00A44159"/>
    <w:rsid w:val="00A44EF8"/>
    <w:rsid w:val="00A468DF"/>
    <w:rsid w:val="00A4799E"/>
    <w:rsid w:val="00A50800"/>
    <w:rsid w:val="00A52699"/>
    <w:rsid w:val="00A52DDE"/>
    <w:rsid w:val="00A5430F"/>
    <w:rsid w:val="00A616DB"/>
    <w:rsid w:val="00A61FD6"/>
    <w:rsid w:val="00A663B6"/>
    <w:rsid w:val="00A67A1E"/>
    <w:rsid w:val="00A718BC"/>
    <w:rsid w:val="00A74347"/>
    <w:rsid w:val="00A74A96"/>
    <w:rsid w:val="00A80744"/>
    <w:rsid w:val="00A80D88"/>
    <w:rsid w:val="00A817EE"/>
    <w:rsid w:val="00A81E82"/>
    <w:rsid w:val="00A83655"/>
    <w:rsid w:val="00A851DE"/>
    <w:rsid w:val="00A86022"/>
    <w:rsid w:val="00A87D59"/>
    <w:rsid w:val="00A90572"/>
    <w:rsid w:val="00A936CC"/>
    <w:rsid w:val="00A93704"/>
    <w:rsid w:val="00A96AF7"/>
    <w:rsid w:val="00A972A8"/>
    <w:rsid w:val="00AA0E0B"/>
    <w:rsid w:val="00AA2824"/>
    <w:rsid w:val="00AA4BA7"/>
    <w:rsid w:val="00AA5C4B"/>
    <w:rsid w:val="00AA5E99"/>
    <w:rsid w:val="00AA62A8"/>
    <w:rsid w:val="00AA67D1"/>
    <w:rsid w:val="00AB0D09"/>
    <w:rsid w:val="00AB1109"/>
    <w:rsid w:val="00AB2ED5"/>
    <w:rsid w:val="00AB2F11"/>
    <w:rsid w:val="00AB3705"/>
    <w:rsid w:val="00AB698B"/>
    <w:rsid w:val="00AC029F"/>
    <w:rsid w:val="00AC591B"/>
    <w:rsid w:val="00AC6C5A"/>
    <w:rsid w:val="00AC6ECF"/>
    <w:rsid w:val="00AC78F1"/>
    <w:rsid w:val="00AD06CA"/>
    <w:rsid w:val="00AD1058"/>
    <w:rsid w:val="00AD27A7"/>
    <w:rsid w:val="00AD3502"/>
    <w:rsid w:val="00AD3987"/>
    <w:rsid w:val="00AD4430"/>
    <w:rsid w:val="00AD463C"/>
    <w:rsid w:val="00AD4EB8"/>
    <w:rsid w:val="00AD5158"/>
    <w:rsid w:val="00AD5D10"/>
    <w:rsid w:val="00AD7BF8"/>
    <w:rsid w:val="00AE02F5"/>
    <w:rsid w:val="00AE308C"/>
    <w:rsid w:val="00AE3897"/>
    <w:rsid w:val="00AE4242"/>
    <w:rsid w:val="00AE4B50"/>
    <w:rsid w:val="00AE5CC0"/>
    <w:rsid w:val="00AE6803"/>
    <w:rsid w:val="00AE6C00"/>
    <w:rsid w:val="00AF01BC"/>
    <w:rsid w:val="00AF0690"/>
    <w:rsid w:val="00AF079F"/>
    <w:rsid w:val="00AF1386"/>
    <w:rsid w:val="00AF2E7B"/>
    <w:rsid w:val="00AF6FF1"/>
    <w:rsid w:val="00AF7059"/>
    <w:rsid w:val="00AF715A"/>
    <w:rsid w:val="00AF7C12"/>
    <w:rsid w:val="00B00095"/>
    <w:rsid w:val="00B00EB5"/>
    <w:rsid w:val="00B07407"/>
    <w:rsid w:val="00B07D72"/>
    <w:rsid w:val="00B07E22"/>
    <w:rsid w:val="00B1011C"/>
    <w:rsid w:val="00B10756"/>
    <w:rsid w:val="00B12DAD"/>
    <w:rsid w:val="00B12FEC"/>
    <w:rsid w:val="00B131D8"/>
    <w:rsid w:val="00B1501C"/>
    <w:rsid w:val="00B20262"/>
    <w:rsid w:val="00B238B7"/>
    <w:rsid w:val="00B24A13"/>
    <w:rsid w:val="00B26470"/>
    <w:rsid w:val="00B26562"/>
    <w:rsid w:val="00B27192"/>
    <w:rsid w:val="00B319A8"/>
    <w:rsid w:val="00B33ECA"/>
    <w:rsid w:val="00B35AA4"/>
    <w:rsid w:val="00B3785E"/>
    <w:rsid w:val="00B42479"/>
    <w:rsid w:val="00B4345D"/>
    <w:rsid w:val="00B43CAF"/>
    <w:rsid w:val="00B45228"/>
    <w:rsid w:val="00B46CCC"/>
    <w:rsid w:val="00B473F5"/>
    <w:rsid w:val="00B50251"/>
    <w:rsid w:val="00B5166A"/>
    <w:rsid w:val="00B519B3"/>
    <w:rsid w:val="00B52F6A"/>
    <w:rsid w:val="00B53462"/>
    <w:rsid w:val="00B55030"/>
    <w:rsid w:val="00B575F0"/>
    <w:rsid w:val="00B57D27"/>
    <w:rsid w:val="00B60B0A"/>
    <w:rsid w:val="00B6255D"/>
    <w:rsid w:val="00B63011"/>
    <w:rsid w:val="00B64E1E"/>
    <w:rsid w:val="00B6502E"/>
    <w:rsid w:val="00B67181"/>
    <w:rsid w:val="00B67C02"/>
    <w:rsid w:val="00B7439D"/>
    <w:rsid w:val="00B74B84"/>
    <w:rsid w:val="00B7684B"/>
    <w:rsid w:val="00B817B2"/>
    <w:rsid w:val="00B82256"/>
    <w:rsid w:val="00B8406E"/>
    <w:rsid w:val="00B8484F"/>
    <w:rsid w:val="00B858D3"/>
    <w:rsid w:val="00B85C7D"/>
    <w:rsid w:val="00B85CE9"/>
    <w:rsid w:val="00B91430"/>
    <w:rsid w:val="00B92837"/>
    <w:rsid w:val="00B92CF1"/>
    <w:rsid w:val="00B94E50"/>
    <w:rsid w:val="00B96703"/>
    <w:rsid w:val="00B96BFD"/>
    <w:rsid w:val="00B978D1"/>
    <w:rsid w:val="00BA2B52"/>
    <w:rsid w:val="00BA3B97"/>
    <w:rsid w:val="00BA5E2F"/>
    <w:rsid w:val="00BA7259"/>
    <w:rsid w:val="00BB2B00"/>
    <w:rsid w:val="00BB340D"/>
    <w:rsid w:val="00BB3AAE"/>
    <w:rsid w:val="00BB4659"/>
    <w:rsid w:val="00BB4E27"/>
    <w:rsid w:val="00BB4ECD"/>
    <w:rsid w:val="00BB6097"/>
    <w:rsid w:val="00BC0BB0"/>
    <w:rsid w:val="00BC102B"/>
    <w:rsid w:val="00BC280B"/>
    <w:rsid w:val="00BC3B62"/>
    <w:rsid w:val="00BC47FD"/>
    <w:rsid w:val="00BC5281"/>
    <w:rsid w:val="00BD4CB1"/>
    <w:rsid w:val="00BD67E6"/>
    <w:rsid w:val="00BD7D6B"/>
    <w:rsid w:val="00BD7EE2"/>
    <w:rsid w:val="00BE08E0"/>
    <w:rsid w:val="00BE41CE"/>
    <w:rsid w:val="00BE4636"/>
    <w:rsid w:val="00BE4D5E"/>
    <w:rsid w:val="00BE5CB3"/>
    <w:rsid w:val="00BF0851"/>
    <w:rsid w:val="00BF2A4F"/>
    <w:rsid w:val="00BF334E"/>
    <w:rsid w:val="00BF6D19"/>
    <w:rsid w:val="00C00AEE"/>
    <w:rsid w:val="00C00F67"/>
    <w:rsid w:val="00C018F8"/>
    <w:rsid w:val="00C01EDA"/>
    <w:rsid w:val="00C04E44"/>
    <w:rsid w:val="00C077A1"/>
    <w:rsid w:val="00C07985"/>
    <w:rsid w:val="00C1147D"/>
    <w:rsid w:val="00C12A64"/>
    <w:rsid w:val="00C16CE5"/>
    <w:rsid w:val="00C17016"/>
    <w:rsid w:val="00C17FB3"/>
    <w:rsid w:val="00C21C99"/>
    <w:rsid w:val="00C21CDA"/>
    <w:rsid w:val="00C22CA6"/>
    <w:rsid w:val="00C2592C"/>
    <w:rsid w:val="00C25EE5"/>
    <w:rsid w:val="00C27C38"/>
    <w:rsid w:val="00C30C70"/>
    <w:rsid w:val="00C32518"/>
    <w:rsid w:val="00C33239"/>
    <w:rsid w:val="00C34915"/>
    <w:rsid w:val="00C35764"/>
    <w:rsid w:val="00C36299"/>
    <w:rsid w:val="00C3686E"/>
    <w:rsid w:val="00C44086"/>
    <w:rsid w:val="00C44313"/>
    <w:rsid w:val="00C45145"/>
    <w:rsid w:val="00C45A19"/>
    <w:rsid w:val="00C46039"/>
    <w:rsid w:val="00C5041F"/>
    <w:rsid w:val="00C528C6"/>
    <w:rsid w:val="00C530C4"/>
    <w:rsid w:val="00C57155"/>
    <w:rsid w:val="00C57745"/>
    <w:rsid w:val="00C60E96"/>
    <w:rsid w:val="00C62F79"/>
    <w:rsid w:val="00C639A1"/>
    <w:rsid w:val="00C63A2F"/>
    <w:rsid w:val="00C7060B"/>
    <w:rsid w:val="00C7172C"/>
    <w:rsid w:val="00C71E3D"/>
    <w:rsid w:val="00C72150"/>
    <w:rsid w:val="00C7267E"/>
    <w:rsid w:val="00C73D94"/>
    <w:rsid w:val="00C73ED6"/>
    <w:rsid w:val="00C74B3D"/>
    <w:rsid w:val="00C75012"/>
    <w:rsid w:val="00C76005"/>
    <w:rsid w:val="00C76827"/>
    <w:rsid w:val="00C76B45"/>
    <w:rsid w:val="00C76C29"/>
    <w:rsid w:val="00C82481"/>
    <w:rsid w:val="00C82694"/>
    <w:rsid w:val="00C90C48"/>
    <w:rsid w:val="00C95C75"/>
    <w:rsid w:val="00C96860"/>
    <w:rsid w:val="00CA0C2A"/>
    <w:rsid w:val="00CA40A1"/>
    <w:rsid w:val="00CA56F0"/>
    <w:rsid w:val="00CA7677"/>
    <w:rsid w:val="00CB066E"/>
    <w:rsid w:val="00CB5EF3"/>
    <w:rsid w:val="00CB7FCD"/>
    <w:rsid w:val="00CC0722"/>
    <w:rsid w:val="00CC19FE"/>
    <w:rsid w:val="00CC1B94"/>
    <w:rsid w:val="00CC2105"/>
    <w:rsid w:val="00CC324C"/>
    <w:rsid w:val="00CC5B29"/>
    <w:rsid w:val="00CC77FD"/>
    <w:rsid w:val="00CD0A35"/>
    <w:rsid w:val="00CD0BF7"/>
    <w:rsid w:val="00CD1365"/>
    <w:rsid w:val="00CD1DC5"/>
    <w:rsid w:val="00CD2148"/>
    <w:rsid w:val="00CD5487"/>
    <w:rsid w:val="00CD71B1"/>
    <w:rsid w:val="00CE0188"/>
    <w:rsid w:val="00CE0F4C"/>
    <w:rsid w:val="00CE184A"/>
    <w:rsid w:val="00CE3C5A"/>
    <w:rsid w:val="00CE4182"/>
    <w:rsid w:val="00CE4CDC"/>
    <w:rsid w:val="00CE54DF"/>
    <w:rsid w:val="00CE55D8"/>
    <w:rsid w:val="00CE5835"/>
    <w:rsid w:val="00CF113F"/>
    <w:rsid w:val="00CF1B66"/>
    <w:rsid w:val="00CF1B9F"/>
    <w:rsid w:val="00CF1F2D"/>
    <w:rsid w:val="00CF2333"/>
    <w:rsid w:val="00CF308F"/>
    <w:rsid w:val="00CF3574"/>
    <w:rsid w:val="00CF3DFB"/>
    <w:rsid w:val="00CF64CE"/>
    <w:rsid w:val="00D0141A"/>
    <w:rsid w:val="00D01C0C"/>
    <w:rsid w:val="00D027BA"/>
    <w:rsid w:val="00D029C1"/>
    <w:rsid w:val="00D04E58"/>
    <w:rsid w:val="00D05760"/>
    <w:rsid w:val="00D07ACB"/>
    <w:rsid w:val="00D103EC"/>
    <w:rsid w:val="00D11354"/>
    <w:rsid w:val="00D151AA"/>
    <w:rsid w:val="00D15468"/>
    <w:rsid w:val="00D159C7"/>
    <w:rsid w:val="00D16319"/>
    <w:rsid w:val="00D17352"/>
    <w:rsid w:val="00D22500"/>
    <w:rsid w:val="00D22A23"/>
    <w:rsid w:val="00D2384A"/>
    <w:rsid w:val="00D277B4"/>
    <w:rsid w:val="00D27B77"/>
    <w:rsid w:val="00D335A6"/>
    <w:rsid w:val="00D33840"/>
    <w:rsid w:val="00D338F6"/>
    <w:rsid w:val="00D36884"/>
    <w:rsid w:val="00D3707F"/>
    <w:rsid w:val="00D37149"/>
    <w:rsid w:val="00D37D3C"/>
    <w:rsid w:val="00D40243"/>
    <w:rsid w:val="00D40E30"/>
    <w:rsid w:val="00D422F4"/>
    <w:rsid w:val="00D4331C"/>
    <w:rsid w:val="00D437CA"/>
    <w:rsid w:val="00D44033"/>
    <w:rsid w:val="00D44F74"/>
    <w:rsid w:val="00D459EC"/>
    <w:rsid w:val="00D47BDB"/>
    <w:rsid w:val="00D52A08"/>
    <w:rsid w:val="00D52A42"/>
    <w:rsid w:val="00D5444D"/>
    <w:rsid w:val="00D54BCF"/>
    <w:rsid w:val="00D56FCE"/>
    <w:rsid w:val="00D61CC6"/>
    <w:rsid w:val="00D63093"/>
    <w:rsid w:val="00D63FB1"/>
    <w:rsid w:val="00D67525"/>
    <w:rsid w:val="00D706F7"/>
    <w:rsid w:val="00D71B5C"/>
    <w:rsid w:val="00D71D6C"/>
    <w:rsid w:val="00D75E90"/>
    <w:rsid w:val="00D80153"/>
    <w:rsid w:val="00D80387"/>
    <w:rsid w:val="00D81331"/>
    <w:rsid w:val="00D81A20"/>
    <w:rsid w:val="00D82164"/>
    <w:rsid w:val="00D838B0"/>
    <w:rsid w:val="00D8473A"/>
    <w:rsid w:val="00D86C6D"/>
    <w:rsid w:val="00D90A5B"/>
    <w:rsid w:val="00D91C21"/>
    <w:rsid w:val="00D942B8"/>
    <w:rsid w:val="00D9500B"/>
    <w:rsid w:val="00D950C8"/>
    <w:rsid w:val="00DA13AF"/>
    <w:rsid w:val="00DA6FB6"/>
    <w:rsid w:val="00DA7B0E"/>
    <w:rsid w:val="00DB0273"/>
    <w:rsid w:val="00DB05B9"/>
    <w:rsid w:val="00DB09C5"/>
    <w:rsid w:val="00DB1419"/>
    <w:rsid w:val="00DB295B"/>
    <w:rsid w:val="00DB3AE9"/>
    <w:rsid w:val="00DB4E0A"/>
    <w:rsid w:val="00DB7BCF"/>
    <w:rsid w:val="00DC11DF"/>
    <w:rsid w:val="00DC2076"/>
    <w:rsid w:val="00DC3B78"/>
    <w:rsid w:val="00DC5BB3"/>
    <w:rsid w:val="00DC7048"/>
    <w:rsid w:val="00DD0BF6"/>
    <w:rsid w:val="00DD0F8E"/>
    <w:rsid w:val="00DD10C4"/>
    <w:rsid w:val="00DD2193"/>
    <w:rsid w:val="00DD4D84"/>
    <w:rsid w:val="00DE0DD4"/>
    <w:rsid w:val="00DE262B"/>
    <w:rsid w:val="00DE3F87"/>
    <w:rsid w:val="00DE6319"/>
    <w:rsid w:val="00DF2993"/>
    <w:rsid w:val="00DF6127"/>
    <w:rsid w:val="00DF6FE6"/>
    <w:rsid w:val="00E026C4"/>
    <w:rsid w:val="00E02B26"/>
    <w:rsid w:val="00E052AF"/>
    <w:rsid w:val="00E05D00"/>
    <w:rsid w:val="00E06D0B"/>
    <w:rsid w:val="00E07F6E"/>
    <w:rsid w:val="00E159F7"/>
    <w:rsid w:val="00E15AD3"/>
    <w:rsid w:val="00E15B68"/>
    <w:rsid w:val="00E165FE"/>
    <w:rsid w:val="00E220E4"/>
    <w:rsid w:val="00E23A9D"/>
    <w:rsid w:val="00E23C59"/>
    <w:rsid w:val="00E2615C"/>
    <w:rsid w:val="00E30C23"/>
    <w:rsid w:val="00E3142D"/>
    <w:rsid w:val="00E31979"/>
    <w:rsid w:val="00E326D6"/>
    <w:rsid w:val="00E32BC6"/>
    <w:rsid w:val="00E32ED9"/>
    <w:rsid w:val="00E32F13"/>
    <w:rsid w:val="00E336EC"/>
    <w:rsid w:val="00E33AE1"/>
    <w:rsid w:val="00E349CA"/>
    <w:rsid w:val="00E34E7A"/>
    <w:rsid w:val="00E35FB3"/>
    <w:rsid w:val="00E36B40"/>
    <w:rsid w:val="00E36BB3"/>
    <w:rsid w:val="00E43919"/>
    <w:rsid w:val="00E43F8E"/>
    <w:rsid w:val="00E44805"/>
    <w:rsid w:val="00E45CDE"/>
    <w:rsid w:val="00E466BB"/>
    <w:rsid w:val="00E50661"/>
    <w:rsid w:val="00E50F46"/>
    <w:rsid w:val="00E5543A"/>
    <w:rsid w:val="00E55486"/>
    <w:rsid w:val="00E5669B"/>
    <w:rsid w:val="00E607D2"/>
    <w:rsid w:val="00E60C05"/>
    <w:rsid w:val="00E61064"/>
    <w:rsid w:val="00E631CA"/>
    <w:rsid w:val="00E636F9"/>
    <w:rsid w:val="00E660A5"/>
    <w:rsid w:val="00E66708"/>
    <w:rsid w:val="00E67B66"/>
    <w:rsid w:val="00E70CEC"/>
    <w:rsid w:val="00E715CD"/>
    <w:rsid w:val="00E732F3"/>
    <w:rsid w:val="00E754B6"/>
    <w:rsid w:val="00E8052A"/>
    <w:rsid w:val="00E81659"/>
    <w:rsid w:val="00E81F90"/>
    <w:rsid w:val="00E837B2"/>
    <w:rsid w:val="00E83DDB"/>
    <w:rsid w:val="00E84345"/>
    <w:rsid w:val="00E84F32"/>
    <w:rsid w:val="00E856DE"/>
    <w:rsid w:val="00E878E5"/>
    <w:rsid w:val="00E87B3D"/>
    <w:rsid w:val="00E92F48"/>
    <w:rsid w:val="00E94A95"/>
    <w:rsid w:val="00E96209"/>
    <w:rsid w:val="00EA1FD7"/>
    <w:rsid w:val="00EA2A7C"/>
    <w:rsid w:val="00EA5738"/>
    <w:rsid w:val="00EA619E"/>
    <w:rsid w:val="00EB2CF8"/>
    <w:rsid w:val="00EB5D12"/>
    <w:rsid w:val="00EB7B2F"/>
    <w:rsid w:val="00EC0CB7"/>
    <w:rsid w:val="00EC123A"/>
    <w:rsid w:val="00EC227A"/>
    <w:rsid w:val="00EC275A"/>
    <w:rsid w:val="00EC32F5"/>
    <w:rsid w:val="00EC5FF1"/>
    <w:rsid w:val="00EC7025"/>
    <w:rsid w:val="00ED0280"/>
    <w:rsid w:val="00ED0A67"/>
    <w:rsid w:val="00ED20A5"/>
    <w:rsid w:val="00ED3503"/>
    <w:rsid w:val="00ED3AB3"/>
    <w:rsid w:val="00ED4349"/>
    <w:rsid w:val="00ED4411"/>
    <w:rsid w:val="00ED4950"/>
    <w:rsid w:val="00ED4F0D"/>
    <w:rsid w:val="00ED50FA"/>
    <w:rsid w:val="00ED571D"/>
    <w:rsid w:val="00ED5DC0"/>
    <w:rsid w:val="00ED605C"/>
    <w:rsid w:val="00ED7625"/>
    <w:rsid w:val="00EE08BF"/>
    <w:rsid w:val="00EE1E6A"/>
    <w:rsid w:val="00EE46C0"/>
    <w:rsid w:val="00EE6A45"/>
    <w:rsid w:val="00EE7176"/>
    <w:rsid w:val="00EE7E24"/>
    <w:rsid w:val="00EF21B4"/>
    <w:rsid w:val="00EF290E"/>
    <w:rsid w:val="00EF2DCE"/>
    <w:rsid w:val="00EF37EF"/>
    <w:rsid w:val="00EF53A9"/>
    <w:rsid w:val="00EF694F"/>
    <w:rsid w:val="00EF7E3C"/>
    <w:rsid w:val="00F01E1A"/>
    <w:rsid w:val="00F020E1"/>
    <w:rsid w:val="00F05E9F"/>
    <w:rsid w:val="00F06465"/>
    <w:rsid w:val="00F10DC4"/>
    <w:rsid w:val="00F1136F"/>
    <w:rsid w:val="00F13CFD"/>
    <w:rsid w:val="00F14867"/>
    <w:rsid w:val="00F14CCF"/>
    <w:rsid w:val="00F15353"/>
    <w:rsid w:val="00F15A49"/>
    <w:rsid w:val="00F169A0"/>
    <w:rsid w:val="00F215E9"/>
    <w:rsid w:val="00F23EA5"/>
    <w:rsid w:val="00F275C9"/>
    <w:rsid w:val="00F30581"/>
    <w:rsid w:val="00F31359"/>
    <w:rsid w:val="00F36EE2"/>
    <w:rsid w:val="00F40EE2"/>
    <w:rsid w:val="00F41D3A"/>
    <w:rsid w:val="00F42CE4"/>
    <w:rsid w:val="00F4736B"/>
    <w:rsid w:val="00F47695"/>
    <w:rsid w:val="00F52A19"/>
    <w:rsid w:val="00F52EB0"/>
    <w:rsid w:val="00F55925"/>
    <w:rsid w:val="00F56749"/>
    <w:rsid w:val="00F62B76"/>
    <w:rsid w:val="00F62C67"/>
    <w:rsid w:val="00F64146"/>
    <w:rsid w:val="00F645DD"/>
    <w:rsid w:val="00F66336"/>
    <w:rsid w:val="00F66D68"/>
    <w:rsid w:val="00F71477"/>
    <w:rsid w:val="00F71A13"/>
    <w:rsid w:val="00F71DDD"/>
    <w:rsid w:val="00F73E14"/>
    <w:rsid w:val="00F74926"/>
    <w:rsid w:val="00F80891"/>
    <w:rsid w:val="00F80F5D"/>
    <w:rsid w:val="00F81094"/>
    <w:rsid w:val="00F81BD0"/>
    <w:rsid w:val="00F83E4E"/>
    <w:rsid w:val="00F844BA"/>
    <w:rsid w:val="00F85BC4"/>
    <w:rsid w:val="00F863D0"/>
    <w:rsid w:val="00F87663"/>
    <w:rsid w:val="00F905DA"/>
    <w:rsid w:val="00F91CD4"/>
    <w:rsid w:val="00F91FCC"/>
    <w:rsid w:val="00F922D2"/>
    <w:rsid w:val="00F942AB"/>
    <w:rsid w:val="00F943C9"/>
    <w:rsid w:val="00F953A4"/>
    <w:rsid w:val="00F962A9"/>
    <w:rsid w:val="00F96DDF"/>
    <w:rsid w:val="00F96F82"/>
    <w:rsid w:val="00F9705C"/>
    <w:rsid w:val="00F971C2"/>
    <w:rsid w:val="00F9724B"/>
    <w:rsid w:val="00FA0357"/>
    <w:rsid w:val="00FA115C"/>
    <w:rsid w:val="00FA19FA"/>
    <w:rsid w:val="00FA30F3"/>
    <w:rsid w:val="00FA4BDF"/>
    <w:rsid w:val="00FA6A68"/>
    <w:rsid w:val="00FA6D43"/>
    <w:rsid w:val="00FB0203"/>
    <w:rsid w:val="00FB0793"/>
    <w:rsid w:val="00FB16F8"/>
    <w:rsid w:val="00FB245A"/>
    <w:rsid w:val="00FB2FC8"/>
    <w:rsid w:val="00FB320F"/>
    <w:rsid w:val="00FB3D87"/>
    <w:rsid w:val="00FB6867"/>
    <w:rsid w:val="00FB6A60"/>
    <w:rsid w:val="00FB6BCD"/>
    <w:rsid w:val="00FB72E2"/>
    <w:rsid w:val="00FB772B"/>
    <w:rsid w:val="00FC1F36"/>
    <w:rsid w:val="00FC22F7"/>
    <w:rsid w:val="00FC2C09"/>
    <w:rsid w:val="00FC3DD4"/>
    <w:rsid w:val="00FC6D70"/>
    <w:rsid w:val="00FD0234"/>
    <w:rsid w:val="00FD14FD"/>
    <w:rsid w:val="00FD3D57"/>
    <w:rsid w:val="00FD50BE"/>
    <w:rsid w:val="00FD5A39"/>
    <w:rsid w:val="00FD6516"/>
    <w:rsid w:val="00FE086E"/>
    <w:rsid w:val="00FE11EA"/>
    <w:rsid w:val="00FE266A"/>
    <w:rsid w:val="00FE48C9"/>
    <w:rsid w:val="00FE5657"/>
    <w:rsid w:val="00FE6899"/>
    <w:rsid w:val="00FE7432"/>
    <w:rsid w:val="00FF0DA4"/>
    <w:rsid w:val="00FF0F35"/>
    <w:rsid w:val="00FF1327"/>
    <w:rsid w:val="00FF35F1"/>
    <w:rsid w:val="00FF3C12"/>
    <w:rsid w:val="00FF411E"/>
    <w:rsid w:val="00FF56FD"/>
    <w:rsid w:val="00FF61AB"/>
    <w:rsid w:val="00FF7B67"/>
    <w:rsid w:val="014F6641"/>
    <w:rsid w:val="03F043E4"/>
    <w:rsid w:val="04432B27"/>
    <w:rsid w:val="04540237"/>
    <w:rsid w:val="07F90E31"/>
    <w:rsid w:val="0AAF0151"/>
    <w:rsid w:val="0EC75D51"/>
    <w:rsid w:val="0F9C4207"/>
    <w:rsid w:val="0FC863D8"/>
    <w:rsid w:val="0FD02630"/>
    <w:rsid w:val="103A7C84"/>
    <w:rsid w:val="1099439D"/>
    <w:rsid w:val="10A17170"/>
    <w:rsid w:val="13374CE1"/>
    <w:rsid w:val="15387CA7"/>
    <w:rsid w:val="154717DD"/>
    <w:rsid w:val="165422D4"/>
    <w:rsid w:val="181B1D8C"/>
    <w:rsid w:val="18D608F5"/>
    <w:rsid w:val="1AF019B6"/>
    <w:rsid w:val="1E4E3D7C"/>
    <w:rsid w:val="1F6772D6"/>
    <w:rsid w:val="2063374F"/>
    <w:rsid w:val="218650D9"/>
    <w:rsid w:val="222F6229"/>
    <w:rsid w:val="26DC0CBE"/>
    <w:rsid w:val="27916A13"/>
    <w:rsid w:val="2AD460B3"/>
    <w:rsid w:val="2BFE3BC7"/>
    <w:rsid w:val="2D405635"/>
    <w:rsid w:val="30406DA7"/>
    <w:rsid w:val="307D181B"/>
    <w:rsid w:val="309E45E8"/>
    <w:rsid w:val="320A574F"/>
    <w:rsid w:val="32400CCE"/>
    <w:rsid w:val="337D5D84"/>
    <w:rsid w:val="34463C79"/>
    <w:rsid w:val="360B31DA"/>
    <w:rsid w:val="36F24B2D"/>
    <w:rsid w:val="395E1DEA"/>
    <w:rsid w:val="39A74D40"/>
    <w:rsid w:val="3C350F31"/>
    <w:rsid w:val="3C6E2D61"/>
    <w:rsid w:val="3E1D7EC6"/>
    <w:rsid w:val="422A76D7"/>
    <w:rsid w:val="4598383D"/>
    <w:rsid w:val="462B2A87"/>
    <w:rsid w:val="48C2149A"/>
    <w:rsid w:val="4AAB5CDB"/>
    <w:rsid w:val="4BDF2592"/>
    <w:rsid w:val="4D9E6866"/>
    <w:rsid w:val="4E5673FC"/>
    <w:rsid w:val="511C5BFC"/>
    <w:rsid w:val="52036212"/>
    <w:rsid w:val="544100E1"/>
    <w:rsid w:val="553621E0"/>
    <w:rsid w:val="55E3042C"/>
    <w:rsid w:val="55EB1533"/>
    <w:rsid w:val="57174680"/>
    <w:rsid w:val="57E82339"/>
    <w:rsid w:val="59204501"/>
    <w:rsid w:val="5C980A38"/>
    <w:rsid w:val="5F754449"/>
    <w:rsid w:val="61B46EF6"/>
    <w:rsid w:val="643C3C1E"/>
    <w:rsid w:val="67114C48"/>
    <w:rsid w:val="67D20B5B"/>
    <w:rsid w:val="68947B08"/>
    <w:rsid w:val="6BAE049B"/>
    <w:rsid w:val="710B49A8"/>
    <w:rsid w:val="713559D7"/>
    <w:rsid w:val="72E47985"/>
    <w:rsid w:val="742D2B58"/>
    <w:rsid w:val="75943DC5"/>
    <w:rsid w:val="778E4699"/>
    <w:rsid w:val="7BB827D8"/>
    <w:rsid w:val="7C0F561D"/>
    <w:rsid w:val="7C4D1D82"/>
    <w:rsid w:val="7CC04B99"/>
    <w:rsid w:val="7D773353"/>
    <w:rsid w:val="7FD575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tabs>
        <w:tab w:val="left" w:pos="1200"/>
      </w:tabs>
      <w:spacing w:before="340" w:after="330" w:line="578" w:lineRule="auto"/>
      <w:ind w:left="1200" w:hanging="1200"/>
      <w:jc w:val="center"/>
      <w:outlineLvl w:val="0"/>
    </w:pPr>
    <w:rPr>
      <w:rFonts w:eastAsia="宋体"/>
      <w:b/>
      <w:bCs/>
      <w:kern w:val="44"/>
      <w:sz w:val="28"/>
      <w:szCs w:val="44"/>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3"/>
    <w:basedOn w:val="1"/>
    <w:qFormat/>
    <w:uiPriority w:val="0"/>
    <w:rPr>
      <w:rFonts w:ascii="宋体"/>
      <w:sz w:val="24"/>
      <w:szCs w:val="20"/>
    </w:rPr>
  </w:style>
  <w:style w:type="paragraph" w:styleId="7">
    <w:name w:val="Body Text"/>
    <w:basedOn w:val="1"/>
    <w:qFormat/>
    <w:uiPriority w:val="0"/>
    <w:pPr>
      <w:spacing w:after="120"/>
    </w:pPr>
  </w:style>
  <w:style w:type="paragraph" w:styleId="8">
    <w:name w:val="Body Text Indent"/>
    <w:basedOn w:val="1"/>
    <w:qFormat/>
    <w:uiPriority w:val="0"/>
    <w:pPr>
      <w:adjustRightInd w:val="0"/>
      <w:snapToGrid w:val="0"/>
      <w:ind w:firstLine="560" w:firstLineChars="200"/>
    </w:pPr>
    <w:rPr>
      <w:rFonts w:ascii="仿宋_GB2312" w:eastAsia="仿宋_GB2312"/>
      <w:color w:val="000000"/>
      <w:sz w:val="28"/>
    </w:rPr>
  </w:style>
  <w:style w:type="paragraph" w:styleId="9">
    <w:name w:val="Plain Text"/>
    <w:basedOn w:val="1"/>
    <w:link w:val="36"/>
    <w:qFormat/>
    <w:uiPriority w:val="0"/>
    <w:rPr>
      <w:rFonts w:ascii="宋体" w:hAnsi="Courier New"/>
      <w:szCs w:val="20"/>
    </w:rPr>
  </w:style>
  <w:style w:type="paragraph" w:styleId="10">
    <w:name w:val="Balloon Text"/>
    <w:basedOn w:val="1"/>
    <w:link w:val="32"/>
    <w:qFormat/>
    <w:uiPriority w:val="0"/>
    <w:rPr>
      <w:sz w:val="18"/>
      <w:szCs w:val="18"/>
    </w:rPr>
  </w:style>
  <w:style w:type="paragraph" w:styleId="11">
    <w:name w:val="footer"/>
    <w:basedOn w:val="1"/>
    <w:link w:val="33"/>
    <w:qFormat/>
    <w:uiPriority w:val="99"/>
    <w:pPr>
      <w:tabs>
        <w:tab w:val="center" w:pos="4153"/>
        <w:tab w:val="right" w:pos="8306"/>
      </w:tabs>
      <w:snapToGrid w:val="0"/>
      <w:jc w:val="left"/>
    </w:pPr>
    <w:rPr>
      <w:sz w:val="18"/>
      <w:szCs w:val="18"/>
    </w:rPr>
  </w:style>
  <w:style w:type="paragraph" w:styleId="12">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List"/>
    <w:basedOn w:val="1"/>
    <w:qFormat/>
    <w:uiPriority w:val="0"/>
    <w:pPr>
      <w:autoSpaceDE w:val="0"/>
      <w:autoSpaceDN w:val="0"/>
      <w:adjustRightInd w:val="0"/>
      <w:ind w:left="360" w:hanging="360"/>
      <w:jc w:val="left"/>
      <w:textAlignment w:val="baseline"/>
    </w:pPr>
    <w:rPr>
      <w:kern w:val="0"/>
      <w:sz w:val="20"/>
      <w:szCs w:val="20"/>
    </w:rPr>
  </w:style>
  <w:style w:type="paragraph" w:styleId="15">
    <w:name w:val="Body Text Indent 3"/>
    <w:basedOn w:val="1"/>
    <w:qFormat/>
    <w:uiPriority w:val="0"/>
    <w:pPr>
      <w:adjustRightInd w:val="0"/>
      <w:snapToGrid w:val="0"/>
      <w:ind w:firstLine="435"/>
    </w:pPr>
    <w:rPr>
      <w:rFonts w:ascii="仿宋_GB2312" w:hAnsi="华文宋体" w:eastAsia="仿宋_GB2312"/>
      <w:b/>
      <w:bCs/>
      <w:sz w:val="28"/>
    </w:rPr>
  </w:style>
  <w:style w:type="paragraph" w:styleId="16">
    <w:name w:val="Normal (Web)"/>
    <w:basedOn w:val="1"/>
    <w:unhideWhenUsed/>
    <w:qFormat/>
    <w:uiPriority w:val="99"/>
    <w:pPr>
      <w:widowControl/>
      <w:spacing w:before="150" w:after="150" w:line="360" w:lineRule="atLeast"/>
      <w:ind w:left="150"/>
      <w:jc w:val="left"/>
    </w:pPr>
    <w:rPr>
      <w:rFonts w:ascii="宋体" w:hAnsi="宋体" w:eastAsia="宋体"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rPr>
  </w:style>
  <w:style w:type="character" w:styleId="21">
    <w:name w:val="page number"/>
    <w:basedOn w:val="19"/>
    <w:qFormat/>
    <w:uiPriority w:val="0"/>
  </w:style>
  <w:style w:type="character" w:styleId="22">
    <w:name w:val="Emphasis"/>
    <w:basedOn w:val="19"/>
    <w:qFormat/>
    <w:uiPriority w:val="20"/>
    <w:rPr>
      <w:color w:val="CC0000"/>
      <w:sz w:val="24"/>
      <w:szCs w:val="24"/>
    </w:rPr>
  </w:style>
  <w:style w:type="character" w:styleId="23">
    <w:name w:val="Hyperlink"/>
    <w:basedOn w:val="19"/>
    <w:qFormat/>
    <w:uiPriority w:val="0"/>
    <w:rPr>
      <w:color w:val="0563C1" w:themeColor="hyperlink"/>
      <w:u w:val="single"/>
    </w:rPr>
  </w:style>
  <w:style w:type="character" w:styleId="24">
    <w:name w:val="annotation reference"/>
    <w:basedOn w:val="19"/>
    <w:qFormat/>
    <w:uiPriority w:val="0"/>
    <w:rPr>
      <w:sz w:val="21"/>
      <w:szCs w:val="21"/>
    </w:rPr>
  </w:style>
  <w:style w:type="paragraph" w:customStyle="1" w:styleId="25">
    <w:name w:val="段"/>
    <w:next w:val="1"/>
    <w:qFormat/>
    <w:uiPriority w:val="99"/>
    <w:pPr>
      <w:autoSpaceDE w:val="0"/>
      <w:autoSpaceDN w:val="0"/>
      <w:adjustRightInd w:val="0"/>
      <w:snapToGrid w:val="0"/>
      <w:spacing w:line="360" w:lineRule="auto"/>
      <w:ind w:firstLine="200" w:firstLineChars="200"/>
      <w:jc w:val="both"/>
    </w:pPr>
    <w:rPr>
      <w:rFonts w:ascii="宋体" w:hAnsi="Calibri" w:cs="宋体" w:eastAsiaTheme="minorEastAsia"/>
      <w:sz w:val="24"/>
      <w:szCs w:val="24"/>
      <w:lang w:val="en-US" w:eastAsia="zh-CN" w:bidi="ar-SA"/>
    </w:rPr>
  </w:style>
  <w:style w:type="paragraph" w:customStyle="1" w:styleId="26">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27">
    <w:name w:val="样式1"/>
    <w:basedOn w:val="4"/>
    <w:qFormat/>
    <w:uiPriority w:val="0"/>
    <w:pPr>
      <w:tabs>
        <w:tab w:val="left" w:pos="425"/>
      </w:tabs>
      <w:spacing w:line="560" w:lineRule="exact"/>
      <w:ind w:left="425" w:hanging="425"/>
    </w:pPr>
    <w:rPr>
      <w:rFonts w:hAnsi="宋体" w:cs="Arial"/>
      <w:kern w:val="0"/>
    </w:rPr>
  </w:style>
  <w:style w:type="paragraph" w:customStyle="1" w:styleId="2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2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styleId="31">
    <w:name w:val="List Paragraph"/>
    <w:basedOn w:val="1"/>
    <w:unhideWhenUsed/>
    <w:qFormat/>
    <w:uiPriority w:val="99"/>
    <w:pPr>
      <w:ind w:firstLine="420" w:firstLineChars="200"/>
    </w:pPr>
  </w:style>
  <w:style w:type="character" w:customStyle="1" w:styleId="32">
    <w:name w:val="批注框文本 Char"/>
    <w:basedOn w:val="19"/>
    <w:link w:val="10"/>
    <w:qFormat/>
    <w:uiPriority w:val="0"/>
    <w:rPr>
      <w:rFonts w:asciiTheme="minorHAnsi" w:hAnsiTheme="minorHAnsi" w:eastAsiaTheme="minorEastAsia" w:cstheme="minorBidi"/>
      <w:kern w:val="2"/>
      <w:sz w:val="18"/>
      <w:szCs w:val="18"/>
    </w:rPr>
  </w:style>
  <w:style w:type="character" w:customStyle="1" w:styleId="33">
    <w:name w:val="页脚 Char"/>
    <w:basedOn w:val="19"/>
    <w:link w:val="11"/>
    <w:qFormat/>
    <w:uiPriority w:val="99"/>
    <w:rPr>
      <w:rFonts w:asciiTheme="minorHAnsi" w:hAnsiTheme="minorHAnsi" w:eastAsiaTheme="minorEastAsia" w:cstheme="minorBidi"/>
      <w:kern w:val="2"/>
      <w:sz w:val="18"/>
      <w:szCs w:val="18"/>
    </w:rPr>
  </w:style>
  <w:style w:type="paragraph" w:customStyle="1" w:styleId="34">
    <w:name w:val="Normal_6"/>
    <w:qFormat/>
    <w:uiPriority w:val="0"/>
    <w:pPr>
      <w:spacing w:before="120" w:after="240"/>
      <w:jc w:val="both"/>
    </w:pPr>
    <w:rPr>
      <w:rFonts w:ascii="Times New Roman" w:hAnsi="Times New Roman" w:eastAsia="Times New Roman" w:cs="Times New Roman"/>
      <w:sz w:val="22"/>
      <w:szCs w:val="22"/>
      <w:lang w:val="en-US" w:eastAsia="en-US" w:bidi="ar-SA"/>
    </w:rPr>
  </w:style>
  <w:style w:type="character" w:customStyle="1" w:styleId="35">
    <w:name w:val="页眉 Char"/>
    <w:basedOn w:val="19"/>
    <w:link w:val="12"/>
    <w:qFormat/>
    <w:uiPriority w:val="99"/>
    <w:rPr>
      <w:rFonts w:asciiTheme="minorHAnsi" w:hAnsiTheme="minorHAnsi" w:eastAsiaTheme="minorEastAsia" w:cstheme="minorBidi"/>
      <w:kern w:val="2"/>
      <w:sz w:val="18"/>
      <w:szCs w:val="18"/>
    </w:rPr>
  </w:style>
  <w:style w:type="character" w:customStyle="1" w:styleId="36">
    <w:name w:val="纯文本 Char"/>
    <w:basedOn w:val="19"/>
    <w:link w:val="9"/>
    <w:qFormat/>
    <w:uiPriority w:val="0"/>
    <w:rPr>
      <w:rFonts w:ascii="宋体" w:hAnsi="Courier New" w:eastAsiaTheme="minorEastAsia" w:cstheme="minorBidi"/>
      <w:kern w:val="2"/>
      <w:sz w:val="21"/>
    </w:rPr>
  </w:style>
  <w:style w:type="paragraph" w:customStyle="1" w:styleId="37">
    <w:name w:val="正文首行缩进 21"/>
    <w:basedOn w:val="1"/>
    <w:qFormat/>
    <w:uiPriority w:val="0"/>
    <w:pPr>
      <w:spacing w:after="120"/>
      <w:ind w:left="420" w:leftChars="200" w:firstLine="42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4732-288F-4647-8EBD-36F4EC61378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12283</Words>
  <Characters>12902</Characters>
  <Lines>105</Lines>
  <Paragraphs>29</Paragraphs>
  <TotalTime>202</TotalTime>
  <ScaleCrop>false</ScaleCrop>
  <LinksUpToDate>false</LinksUpToDate>
  <CharactersWithSpaces>13939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2017-09-19T06:14:00Z</dcterms:created>
  <dc:creator>Administrator</dc:creator>
  <cp:lastModifiedBy>吴杉/产学合作处、创新创业学院/行政部门/湖北师范大学</cp:lastModifiedBy>
  <cp:lastPrinted>2022-10-13T02:24:00Z</cp:lastPrinted>
  <dcterms:modified xsi:type="dcterms:W3CDTF">2022-10-14T02:55:08Z</dcterms:modified>
  <cp:revision>1246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544BBF4219F14D7C95532F4ED8BDFBAD</vt:lpwstr>
  </property>
</Properties>
</file>